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483458557"/>
        <w:docPartObj>
          <w:docPartGallery w:val="Cover Pages"/>
          <w:docPartUnique/>
        </w:docPartObj>
      </w:sdtPr>
      <w:sdtContent>
        <w:p w14:paraId="3681AAA1" w14:textId="452AEB6E" w:rsidR="00D13551" w:rsidRPr="00C2399E" w:rsidRDefault="006F3C09">
          <w:pPr>
            <w:spacing w:line="278" w:lineRule="auto"/>
          </w:pPr>
          <w:r w:rsidRPr="00C2399E"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71E4078D" wp14:editId="1A96C463">
                <wp:simplePos x="0" y="0"/>
                <wp:positionH relativeFrom="margin">
                  <wp:align>center</wp:align>
                </wp:positionH>
                <wp:positionV relativeFrom="paragraph">
                  <wp:posOffset>-939800</wp:posOffset>
                </wp:positionV>
                <wp:extent cx="7758430" cy="10046335"/>
                <wp:effectExtent l="0" t="0" r="0" b="0"/>
                <wp:wrapNone/>
                <wp:docPr id="106427492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06175" name="Picture 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8430" cy="10046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13551" w:rsidRPr="00C2399E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72890ACA" wp14:editId="64A2DD75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4535170</wp:posOffset>
                    </wp:positionV>
                    <wp:extent cx="4319270" cy="1842770"/>
                    <wp:effectExtent l="0" t="0" r="0" b="5080"/>
                    <wp:wrapSquare wrapText="bothSides"/>
                    <wp:docPr id="53840064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19270" cy="1842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B1F67E" w14:textId="1F88A407" w:rsidR="009330BC" w:rsidRPr="00C2399E" w:rsidRDefault="006F3C09" w:rsidP="00BD06FB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Financial Behavior Driven Decision-Making</w:t>
                                </w:r>
                              </w:p>
                              <w:p w14:paraId="277BB164" w14:textId="31B4B363" w:rsidR="00D13551" w:rsidRPr="00C2399E" w:rsidRDefault="003B483C" w:rsidP="00BD06FB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August</w:t>
                                </w:r>
                                <w:r w:rsidR="00D13551" w:rsidRPr="00C2399E">
                                  <w:rPr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890A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0;margin-top:357.1pt;width:340.1pt;height:145.1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" filled="f" stroked="f">
                    <v:textbox>
                      <w:txbxContent>
                        <w:p w14:paraId="75B1F67E" w14:textId="1F88A407" w:rsidR="009330BC" w:rsidRPr="00C2399E" w:rsidRDefault="006F3C09" w:rsidP="00BD06FB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Financial Behavior Driven Decision-Making</w:t>
                          </w:r>
                        </w:p>
                        <w:p w14:paraId="277BB164" w14:textId="31B4B363" w:rsidR="00D13551" w:rsidRPr="00C2399E" w:rsidRDefault="003B483C" w:rsidP="00BD06FB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August</w:t>
                          </w:r>
                          <w:r w:rsidR="00D13551" w:rsidRPr="00C2399E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 xml:space="preserve"> 2025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D13551" w:rsidRPr="00C2399E">
            <w:br w:type="page"/>
          </w:r>
        </w:p>
      </w:sdtContent>
    </w:sdt>
    <w:p w14:paraId="1DCCE8DD" w14:textId="1EB8B7A3" w:rsidR="00B14021" w:rsidRPr="00464D09" w:rsidRDefault="00DC51A8" w:rsidP="00B14021">
      <w:pPr>
        <w:rPr>
          <w:b/>
          <w:bCs/>
          <w:sz w:val="28"/>
          <w:szCs w:val="28"/>
        </w:rPr>
      </w:pPr>
      <w:r w:rsidRPr="00464D09">
        <w:rPr>
          <w:b/>
          <w:bCs/>
          <w:sz w:val="28"/>
          <w:szCs w:val="28"/>
        </w:rPr>
        <w:lastRenderedPageBreak/>
        <w:t xml:space="preserve">Financial Behavior Driven </w:t>
      </w:r>
      <w:r w:rsidR="00B14021" w:rsidRPr="00464D09">
        <w:rPr>
          <w:b/>
          <w:bCs/>
          <w:sz w:val="28"/>
          <w:szCs w:val="28"/>
        </w:rPr>
        <w:t>Decision-Making</w:t>
      </w:r>
    </w:p>
    <w:p w14:paraId="590E1A22" w14:textId="70365E32" w:rsidR="00B14021" w:rsidRPr="00EA0E48" w:rsidRDefault="00B14021" w:rsidP="006903BF">
      <w:pPr>
        <w:spacing w:line="240" w:lineRule="auto"/>
        <w:rPr>
          <w:b/>
          <w:bCs/>
        </w:rPr>
      </w:pPr>
      <w:r w:rsidRPr="00EA0E48">
        <w:rPr>
          <w:b/>
          <w:bCs/>
        </w:rPr>
        <w:t>Abstract</w:t>
      </w:r>
      <w:r>
        <w:rPr>
          <w:b/>
          <w:bCs/>
        </w:rPr>
        <w:t xml:space="preserve"> </w:t>
      </w:r>
      <w:r w:rsidR="00DC51A8">
        <w:rPr>
          <w:b/>
          <w:bCs/>
        </w:rPr>
        <w:t>- Evidence Su</w:t>
      </w:r>
      <w:r w:rsidR="00EE6E95">
        <w:rPr>
          <w:b/>
          <w:bCs/>
        </w:rPr>
        <w:t xml:space="preserve">pporting DNA </w:t>
      </w:r>
      <w:proofErr w:type="spellStart"/>
      <w:r w:rsidR="00EE6E95">
        <w:rPr>
          <w:b/>
          <w:bCs/>
        </w:rPr>
        <w:t>Behavior’s</w:t>
      </w:r>
      <w:proofErr w:type="spellEnd"/>
      <w:r w:rsidR="00EE6E95">
        <w:rPr>
          <w:b/>
          <w:bCs/>
        </w:rPr>
        <w:t xml:space="preserve"> Methodology</w:t>
      </w:r>
    </w:p>
    <w:p w14:paraId="0D0D7EDE" w14:textId="77777777" w:rsidR="00B14021" w:rsidRPr="00AD71C5" w:rsidRDefault="00B14021" w:rsidP="006903BF">
      <w:pPr>
        <w:spacing w:line="240" w:lineRule="auto"/>
      </w:pPr>
      <w:r w:rsidRPr="00AD71C5">
        <w:t>This paper synthesizes peer</w:t>
      </w:r>
      <w:r w:rsidRPr="00AD71C5">
        <w:noBreakHyphen/>
        <w:t>reviewed research examining how personality traits—primarily the Big</w:t>
      </w:r>
      <w:r w:rsidRPr="00AD71C5">
        <w:rPr>
          <w:rFonts w:ascii="Arial" w:hAnsi="Arial" w:cs="Arial"/>
        </w:rPr>
        <w:t> </w:t>
      </w:r>
      <w:r w:rsidRPr="00AD71C5">
        <w:t>Five (OCEAN)</w:t>
      </w:r>
      <w:r w:rsidRPr="00AD71C5">
        <w:rPr>
          <w:rFonts w:ascii="Aptos" w:hAnsi="Aptos" w:cs="Aptos"/>
        </w:rPr>
        <w:t>—</w:t>
      </w:r>
      <w:r w:rsidRPr="00AD71C5">
        <w:t xml:space="preserve">predict financial </w:t>
      </w:r>
      <w:proofErr w:type="spellStart"/>
      <w:r w:rsidRPr="00AD71C5">
        <w:t>behaviors</w:t>
      </w:r>
      <w:proofErr w:type="spellEnd"/>
      <w:r w:rsidRPr="00AD71C5">
        <w:t xml:space="preserve"> and decisions. Evidence spans outcomes such as credit</w:t>
      </w:r>
      <w:r w:rsidRPr="00AD71C5">
        <w:noBreakHyphen/>
        <w:t xml:space="preserve">card debt, savings, risk tolerance, and investment biases, supporting DNA </w:t>
      </w:r>
      <w:proofErr w:type="spellStart"/>
      <w:r w:rsidRPr="00AD71C5">
        <w:t>Behavior</w:t>
      </w:r>
      <w:r w:rsidRPr="00AD71C5">
        <w:rPr>
          <w:rFonts w:ascii="Aptos" w:hAnsi="Aptos" w:cs="Aptos"/>
        </w:rPr>
        <w:t>’</w:t>
      </w:r>
      <w:r w:rsidRPr="00AD71C5">
        <w:t>s</w:t>
      </w:r>
      <w:proofErr w:type="spellEnd"/>
      <w:r w:rsidRPr="00AD71C5">
        <w:t xml:space="preserve"> science</w:t>
      </w:r>
      <w:r w:rsidRPr="00AD71C5">
        <w:noBreakHyphen/>
        <w:t>based methodology by aligning its trait</w:t>
      </w:r>
      <w:r w:rsidRPr="00AD71C5">
        <w:noBreakHyphen/>
      </w:r>
      <w:proofErr w:type="spellStart"/>
      <w:r w:rsidRPr="00AD71C5">
        <w:t>behavior</w:t>
      </w:r>
      <w:proofErr w:type="spellEnd"/>
      <w:r w:rsidRPr="00AD71C5">
        <w:t xml:space="preserve"> linkages with independent findings.</w:t>
      </w:r>
    </w:p>
    <w:p w14:paraId="59C8CF6E" w14:textId="77777777" w:rsidR="00B14021" w:rsidRDefault="00000000" w:rsidP="006903BF">
      <w:pPr>
        <w:spacing w:line="240" w:lineRule="auto"/>
        <w:rPr>
          <w:b/>
          <w:bCs/>
        </w:rPr>
      </w:pPr>
      <w:r>
        <w:pict w14:anchorId="6C526F32">
          <v:rect id="_x0000_i1025" style="width:0;height:1.5pt" o:hralign="center" o:hrstd="t" o:hr="t" fillcolor="#a0a0a0" stroked="f"/>
        </w:pict>
      </w:r>
    </w:p>
    <w:p w14:paraId="07CAA56D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t>1. Introduction</w:t>
      </w:r>
    </w:p>
    <w:p w14:paraId="043900BF" w14:textId="77777777" w:rsidR="00B14021" w:rsidRDefault="00B14021" w:rsidP="006903BF">
      <w:pPr>
        <w:spacing w:line="240" w:lineRule="auto"/>
      </w:pPr>
      <w:r w:rsidRPr="00EE1CC1">
        <w:t>The study of how psychological traits influence financial decision-making has gained substantial empirical support over the past two decades</w:t>
      </w:r>
      <w:r>
        <w:t xml:space="preserve"> </w:t>
      </w:r>
      <w:hyperlink r:id="rId9" w:tgtFrame="_blank" w:history="1">
        <w:r w:rsidRPr="00AD71C5">
          <w:rPr>
            <w:rStyle w:val="Hyperlink"/>
          </w:rPr>
          <w:t>Open Journals</w:t>
        </w:r>
      </w:hyperlink>
      <w:r w:rsidRPr="00EE1CC1">
        <w:t xml:space="preserve">. Personality frameworks such as the </w:t>
      </w:r>
      <w:r w:rsidRPr="00EE1CC1">
        <w:rPr>
          <w:b/>
          <w:bCs/>
        </w:rPr>
        <w:t>Big Five model</w:t>
      </w:r>
      <w:r w:rsidRPr="00EE1CC1">
        <w:t xml:space="preserve"> and </w:t>
      </w:r>
      <w:proofErr w:type="spellStart"/>
      <w:r w:rsidRPr="00EE1CC1">
        <w:t>behavioral</w:t>
      </w:r>
      <w:proofErr w:type="spellEnd"/>
      <w:r w:rsidRPr="00EE1CC1">
        <w:t xml:space="preserve"> economics research have revealed strong links between stable</w:t>
      </w:r>
      <w:r>
        <w:t xml:space="preserve"> (enduring)</w:t>
      </w:r>
      <w:r w:rsidRPr="00EE1CC1">
        <w:t xml:space="preserve"> traits and financial outcomes. </w:t>
      </w:r>
    </w:p>
    <w:p w14:paraId="19DE5111" w14:textId="77777777" w:rsidR="00B14021" w:rsidRDefault="00B14021" w:rsidP="006903BF">
      <w:pPr>
        <w:spacing w:line="240" w:lineRule="auto"/>
      </w:pPr>
      <w:r w:rsidRPr="00EE1CC1">
        <w:t xml:space="preserve">DNA </w:t>
      </w:r>
      <w:proofErr w:type="spellStart"/>
      <w:r w:rsidRPr="00EE1CC1">
        <w:t>Behavior’s</w:t>
      </w:r>
      <w:proofErr w:type="spellEnd"/>
      <w:r w:rsidRPr="00EE1CC1">
        <w:t xml:space="preserve"> proprietary </w:t>
      </w:r>
      <w:r>
        <w:t xml:space="preserve">psychometric </w:t>
      </w:r>
      <w:r w:rsidRPr="00EE1CC1">
        <w:t>methodology, developed since 2001</w:t>
      </w:r>
      <w:r>
        <w:t xml:space="preserve"> with an independent team of experts</w:t>
      </w:r>
      <w:r w:rsidRPr="00EE1CC1">
        <w:t xml:space="preserve">, leverages these scientific foundations to predict and guide financial </w:t>
      </w:r>
      <w:proofErr w:type="spellStart"/>
      <w:r w:rsidRPr="00EE1CC1">
        <w:t>behavior</w:t>
      </w:r>
      <w:proofErr w:type="spellEnd"/>
      <w:r w:rsidRPr="00EE1CC1">
        <w:t xml:space="preserve"> at both the individual and organizational level. </w:t>
      </w:r>
    </w:p>
    <w:p w14:paraId="00D8BD11" w14:textId="77777777" w:rsidR="00B14021" w:rsidRDefault="00B14021" w:rsidP="006903BF">
      <w:pPr>
        <w:spacing w:line="240" w:lineRule="auto"/>
      </w:pPr>
      <w:r>
        <w:t xml:space="preserve">The measurement of stable traits or otherwise referenced as natural “hard-wired” </w:t>
      </w:r>
      <w:proofErr w:type="spellStart"/>
      <w:r>
        <w:t>behavior</w:t>
      </w:r>
      <w:proofErr w:type="spellEnd"/>
      <w:r>
        <w:t xml:space="preserve"> is achieved by deploying the DNA Natural Behavior Discovery Process. The DNA Natural Behavior Discovery Process uses the Forced Choice Scoring method to remove situational bias and thereby gain a high level of predictability with a scientifically proven 97.1% accuracy level. You can learn more at </w:t>
      </w:r>
      <w:hyperlink r:id="rId10" w:history="1">
        <w:r w:rsidRPr="00B1791D">
          <w:rPr>
            <w:rStyle w:val="Hyperlink"/>
          </w:rPr>
          <w:t>www.dnabehavior.com/our-methodology</w:t>
        </w:r>
      </w:hyperlink>
      <w:r>
        <w:t xml:space="preserve"> </w:t>
      </w:r>
    </w:p>
    <w:p w14:paraId="15D9D805" w14:textId="77777777" w:rsidR="00B14021" w:rsidRPr="00EE1CC1" w:rsidRDefault="00B14021" w:rsidP="006903BF">
      <w:pPr>
        <w:spacing w:line="240" w:lineRule="auto"/>
      </w:pPr>
      <w:r w:rsidRPr="00EE1CC1">
        <w:t xml:space="preserve">This paper reviews evidence connecting </w:t>
      </w:r>
      <w:r>
        <w:t xml:space="preserve">the Big 5 </w:t>
      </w:r>
      <w:r w:rsidRPr="00EE1CC1">
        <w:t xml:space="preserve">personality traits to financial </w:t>
      </w:r>
      <w:proofErr w:type="spellStart"/>
      <w:r w:rsidRPr="00EE1CC1">
        <w:t>behaviors</w:t>
      </w:r>
      <w:proofErr w:type="spellEnd"/>
      <w:r w:rsidRPr="00EE1CC1">
        <w:t xml:space="preserve">, biases, and decisions, showing that DNA </w:t>
      </w:r>
      <w:proofErr w:type="spellStart"/>
      <w:r w:rsidRPr="00EE1CC1">
        <w:t>Behavior’s</w:t>
      </w:r>
      <w:proofErr w:type="spellEnd"/>
      <w:r w:rsidRPr="00EE1CC1">
        <w:t xml:space="preserve"> approach is corroborated by peer-reviewed research.</w:t>
      </w:r>
    </w:p>
    <w:p w14:paraId="6140FD0D" w14:textId="77777777" w:rsidR="00B14021" w:rsidRPr="00EE1CC1" w:rsidRDefault="00000000" w:rsidP="006903BF">
      <w:pPr>
        <w:spacing w:line="240" w:lineRule="auto"/>
      </w:pPr>
      <w:r>
        <w:pict w14:anchorId="3180CCF2">
          <v:rect id="_x0000_i1026" style="width:0;height:1.5pt" o:hralign="center" o:hrstd="t" o:hr="t" fillcolor="#a0a0a0" stroked="f"/>
        </w:pict>
      </w:r>
    </w:p>
    <w:p w14:paraId="1538BAC6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t>2. The Big Five Personality Traits and Financial Decisions</w:t>
      </w:r>
    </w:p>
    <w:p w14:paraId="3C61EE09" w14:textId="77777777" w:rsidR="00B14021" w:rsidRPr="00EE1CC1" w:rsidRDefault="00B14021" w:rsidP="006903BF">
      <w:pPr>
        <w:spacing w:line="240" w:lineRule="auto"/>
      </w:pPr>
      <w:r w:rsidRPr="00EE1CC1">
        <w:t xml:space="preserve">A growing body of research demonstrates that the </w:t>
      </w:r>
      <w:r w:rsidRPr="00EE1CC1">
        <w:rPr>
          <w:b/>
          <w:bCs/>
        </w:rPr>
        <w:t>Big Five traits</w:t>
      </w:r>
      <w:r w:rsidRPr="00EE1CC1">
        <w:t xml:space="preserve"> reliably predict financial attitudes and </w:t>
      </w:r>
      <w:proofErr w:type="spellStart"/>
      <w:r w:rsidRPr="00EE1CC1">
        <w:t>behaviors</w:t>
      </w:r>
      <w:proofErr w:type="spellEnd"/>
      <w:r w:rsidRPr="00EE1CC1">
        <w:t>:</w:t>
      </w:r>
    </w:p>
    <w:p w14:paraId="13F59A47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t>2.1 Conscientiousness</w:t>
      </w:r>
    </w:p>
    <w:p w14:paraId="502C4273" w14:textId="77777777" w:rsidR="00B14021" w:rsidRPr="00EE1CC1" w:rsidRDefault="00B14021" w:rsidP="006903BF">
      <w:pPr>
        <w:numPr>
          <w:ilvl w:val="0"/>
          <w:numId w:val="27"/>
        </w:numPr>
        <w:spacing w:line="240" w:lineRule="auto"/>
      </w:pPr>
      <w:r w:rsidRPr="00EE1CC1">
        <w:t xml:space="preserve">Strongest predictor of </w:t>
      </w:r>
      <w:r w:rsidRPr="00EE1CC1">
        <w:rPr>
          <w:b/>
          <w:bCs/>
        </w:rPr>
        <w:t>positive financial outcomes</w:t>
      </w:r>
      <w:r w:rsidRPr="00EE1CC1">
        <w:t xml:space="preserve"> such as higher savings, lower debt, and long-term planning.</w:t>
      </w:r>
    </w:p>
    <w:p w14:paraId="4CFE1982" w14:textId="77777777" w:rsidR="00B14021" w:rsidRPr="00EE1CC1" w:rsidRDefault="00B14021" w:rsidP="006903BF">
      <w:pPr>
        <w:numPr>
          <w:ilvl w:val="0"/>
          <w:numId w:val="27"/>
        </w:numPr>
        <w:spacing w:line="240" w:lineRule="auto"/>
      </w:pPr>
      <w:r w:rsidRPr="00EE1CC1">
        <w:t xml:space="preserve">Linked to consistent </w:t>
      </w:r>
      <w:r w:rsidRPr="00EE1CC1">
        <w:rPr>
          <w:b/>
          <w:bCs/>
        </w:rPr>
        <w:t>bill payment</w:t>
      </w:r>
      <w:r w:rsidRPr="00EE1CC1">
        <w:t xml:space="preserve"> and </w:t>
      </w:r>
      <w:r w:rsidRPr="00EE1CC1">
        <w:rPr>
          <w:b/>
          <w:bCs/>
        </w:rPr>
        <w:t>debt repayment</w:t>
      </w:r>
      <w:r w:rsidRPr="00EE1CC1">
        <w:t>, with one study showing conscientiousness predicts whether individuals pay off or revolve credit card debt.</w:t>
      </w:r>
    </w:p>
    <w:p w14:paraId="4B256100" w14:textId="77777777" w:rsidR="00B14021" w:rsidRPr="00EE1CC1" w:rsidRDefault="00B14021" w:rsidP="006903BF">
      <w:pPr>
        <w:numPr>
          <w:ilvl w:val="0"/>
          <w:numId w:val="27"/>
        </w:numPr>
        <w:spacing w:line="240" w:lineRule="auto"/>
      </w:pPr>
      <w:r w:rsidRPr="00EE1CC1">
        <w:t xml:space="preserve">Reflects </w:t>
      </w:r>
      <w:r w:rsidRPr="00EE1CC1">
        <w:rPr>
          <w:b/>
          <w:bCs/>
        </w:rPr>
        <w:t>future orientation and self-control</w:t>
      </w:r>
      <w:r w:rsidRPr="00EE1CC1">
        <w:t>, traits highly aligned with prudent financial management.</w:t>
      </w:r>
    </w:p>
    <w:p w14:paraId="74070F7E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lastRenderedPageBreak/>
        <w:t>2.2 Neuroticism</w:t>
      </w:r>
    </w:p>
    <w:p w14:paraId="4DEA5473" w14:textId="77777777" w:rsidR="00B14021" w:rsidRPr="00EE1CC1" w:rsidRDefault="00B14021" w:rsidP="006903BF">
      <w:pPr>
        <w:numPr>
          <w:ilvl w:val="0"/>
          <w:numId w:val="28"/>
        </w:numPr>
        <w:spacing w:line="240" w:lineRule="auto"/>
      </w:pPr>
      <w:r w:rsidRPr="00EE1CC1">
        <w:t xml:space="preserve">Associated with </w:t>
      </w:r>
      <w:r w:rsidRPr="00EE1CC1">
        <w:rPr>
          <w:b/>
          <w:bCs/>
        </w:rPr>
        <w:t>financial anxiety</w:t>
      </w:r>
      <w:r w:rsidRPr="00EE1CC1">
        <w:t>, pessimistic return expectations, and panic-driven decisions during market downturns.</w:t>
      </w:r>
    </w:p>
    <w:p w14:paraId="31B6AD66" w14:textId="77777777" w:rsidR="00B14021" w:rsidRPr="00EE1CC1" w:rsidRDefault="00B14021" w:rsidP="006903BF">
      <w:pPr>
        <w:numPr>
          <w:ilvl w:val="0"/>
          <w:numId w:val="28"/>
        </w:numPr>
        <w:spacing w:line="240" w:lineRule="auto"/>
      </w:pPr>
      <w:r w:rsidRPr="00EE1CC1">
        <w:t xml:space="preserve">Individuals high in neuroticism tend to prefer </w:t>
      </w:r>
      <w:r w:rsidRPr="00EE1CC1">
        <w:rPr>
          <w:b/>
          <w:bCs/>
        </w:rPr>
        <w:t>overly conservative portfolios</w:t>
      </w:r>
      <w:r w:rsidRPr="00EE1CC1">
        <w:t>, which can hinder wealth accumulation over time.</w:t>
      </w:r>
    </w:p>
    <w:p w14:paraId="4826F1EE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t>2.3 Openness to Experience</w:t>
      </w:r>
    </w:p>
    <w:p w14:paraId="191C0311" w14:textId="77777777" w:rsidR="00B14021" w:rsidRPr="00EE1CC1" w:rsidRDefault="00B14021" w:rsidP="006903BF">
      <w:pPr>
        <w:numPr>
          <w:ilvl w:val="0"/>
          <w:numId w:val="29"/>
        </w:numPr>
        <w:spacing w:line="240" w:lineRule="auto"/>
      </w:pPr>
      <w:r w:rsidRPr="00EE1CC1">
        <w:t xml:space="preserve">Linked to </w:t>
      </w:r>
      <w:r w:rsidRPr="00EE1CC1">
        <w:rPr>
          <w:b/>
          <w:bCs/>
        </w:rPr>
        <w:t>financial innovation and risk-taking</w:t>
      </w:r>
      <w:r w:rsidRPr="00EE1CC1">
        <w:t xml:space="preserve">, including </w:t>
      </w:r>
      <w:r>
        <w:t xml:space="preserve">exploration of new ideas, </w:t>
      </w:r>
      <w:r w:rsidRPr="00EE1CC1">
        <w:t>early adoption of cryptocurrency and preference for equities.</w:t>
      </w:r>
    </w:p>
    <w:p w14:paraId="62AE6137" w14:textId="77777777" w:rsidR="00B14021" w:rsidRPr="00EE1CC1" w:rsidRDefault="00B14021" w:rsidP="006903BF">
      <w:pPr>
        <w:numPr>
          <w:ilvl w:val="0"/>
          <w:numId w:val="29"/>
        </w:numPr>
        <w:spacing w:line="240" w:lineRule="auto"/>
      </w:pPr>
      <w:r w:rsidRPr="00EE1CC1">
        <w:t xml:space="preserve">However, higher openness is sometimes correlated with </w:t>
      </w:r>
      <w:r w:rsidRPr="00EE1CC1">
        <w:rPr>
          <w:b/>
          <w:bCs/>
        </w:rPr>
        <w:t>lower debt repayment discipline</w:t>
      </w:r>
      <w:r w:rsidRPr="00EE1CC1">
        <w:t>, suggesting trade-offs between novelty-seeking and financial prudence.</w:t>
      </w:r>
    </w:p>
    <w:p w14:paraId="56D4641B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t>2.4 Extraversion</w:t>
      </w:r>
    </w:p>
    <w:p w14:paraId="2D113394" w14:textId="77777777" w:rsidR="00B14021" w:rsidRPr="00EE1CC1" w:rsidRDefault="00B14021" w:rsidP="006903BF">
      <w:pPr>
        <w:numPr>
          <w:ilvl w:val="0"/>
          <w:numId w:val="30"/>
        </w:numPr>
        <w:spacing w:line="240" w:lineRule="auto"/>
      </w:pPr>
      <w:r w:rsidRPr="00EE1CC1">
        <w:t xml:space="preserve">Associated with </w:t>
      </w:r>
      <w:r w:rsidRPr="00EE1CC1">
        <w:rPr>
          <w:b/>
          <w:bCs/>
        </w:rPr>
        <w:t>greater financial confidence</w:t>
      </w:r>
      <w:r w:rsidRPr="00EE1CC1">
        <w:t xml:space="preserve"> and, in some studies, higher earnings.</w:t>
      </w:r>
    </w:p>
    <w:p w14:paraId="07F49175" w14:textId="77777777" w:rsidR="00B14021" w:rsidRPr="00EE1CC1" w:rsidRDefault="00B14021" w:rsidP="006903BF">
      <w:pPr>
        <w:numPr>
          <w:ilvl w:val="0"/>
          <w:numId w:val="30"/>
        </w:numPr>
        <w:spacing w:line="240" w:lineRule="auto"/>
      </w:pPr>
      <w:r w:rsidRPr="00EE1CC1">
        <w:t xml:space="preserve">However, extroverts are also prone to </w:t>
      </w:r>
      <w:r w:rsidRPr="00EE1CC1">
        <w:rPr>
          <w:b/>
          <w:bCs/>
        </w:rPr>
        <w:t>impulse spending</w:t>
      </w:r>
      <w:r w:rsidRPr="00EE1CC1">
        <w:t>, which can reduce savings.</w:t>
      </w:r>
    </w:p>
    <w:p w14:paraId="4C7CDD11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t>2.5 Agreeableness</w:t>
      </w:r>
    </w:p>
    <w:p w14:paraId="6D39AB6A" w14:textId="77777777" w:rsidR="00B14021" w:rsidRPr="00EE1CC1" w:rsidRDefault="00B14021" w:rsidP="006903BF">
      <w:pPr>
        <w:numPr>
          <w:ilvl w:val="0"/>
          <w:numId w:val="31"/>
        </w:numPr>
        <w:spacing w:line="240" w:lineRule="auto"/>
      </w:pPr>
      <w:r w:rsidRPr="00EE1CC1">
        <w:t xml:space="preserve">Research shows mixed results: in some cases, linked to </w:t>
      </w:r>
      <w:r w:rsidRPr="00EE1CC1">
        <w:rPr>
          <w:b/>
          <w:bCs/>
        </w:rPr>
        <w:t>lower wealth accumulation</w:t>
      </w:r>
      <w:r w:rsidRPr="00EE1CC1">
        <w:t xml:space="preserve"> (due to generosity or vulnerability to scams), but also to </w:t>
      </w:r>
      <w:r w:rsidRPr="00EE1CC1">
        <w:rPr>
          <w:b/>
          <w:bCs/>
        </w:rPr>
        <w:t>risk aversion</w:t>
      </w:r>
      <w:r w:rsidRPr="00EE1CC1">
        <w:t xml:space="preserve"> and conservative investing.</w:t>
      </w:r>
    </w:p>
    <w:p w14:paraId="58720455" w14:textId="77777777" w:rsidR="00B14021" w:rsidRPr="00EE1CC1" w:rsidRDefault="00B14021" w:rsidP="006903BF">
      <w:pPr>
        <w:numPr>
          <w:ilvl w:val="0"/>
          <w:numId w:val="31"/>
        </w:numPr>
        <w:spacing w:line="240" w:lineRule="auto"/>
      </w:pPr>
      <w:r w:rsidRPr="00EE1CC1">
        <w:t>Highlights how social preferences influence financial trade-offs between personal security and helping others.</w:t>
      </w:r>
    </w:p>
    <w:p w14:paraId="291D106A" w14:textId="77777777" w:rsidR="00B14021" w:rsidRPr="00EE1CC1" w:rsidRDefault="00000000" w:rsidP="006903BF">
      <w:pPr>
        <w:spacing w:line="240" w:lineRule="auto"/>
      </w:pPr>
      <w:r>
        <w:pict w14:anchorId="35433C74">
          <v:rect id="_x0000_i1027" style="width:0;height:1.5pt" o:hralign="center" o:hrstd="t" o:hr="t" fillcolor="#a0a0a0" stroked="f"/>
        </w:pict>
      </w:r>
    </w:p>
    <w:p w14:paraId="5B0B7CAF" w14:textId="77777777" w:rsidR="00B14021" w:rsidRPr="00EE1CC1" w:rsidRDefault="00B14021" w:rsidP="006903BF">
      <w:pPr>
        <w:spacing w:line="240" w:lineRule="auto"/>
        <w:rPr>
          <w:b/>
          <w:bCs/>
        </w:rPr>
      </w:pPr>
      <w:r w:rsidRPr="00EE1CC1">
        <w:rPr>
          <w:b/>
          <w:bCs/>
        </w:rPr>
        <w:t xml:space="preserve">3. </w:t>
      </w:r>
      <w:r>
        <w:rPr>
          <w:b/>
          <w:bCs/>
        </w:rPr>
        <w:t xml:space="preserve">The Big Five </w:t>
      </w:r>
      <w:r w:rsidRPr="00EE1CC1">
        <w:rPr>
          <w:b/>
          <w:bCs/>
        </w:rPr>
        <w:t>Personality Traits and Behavioral Biases</w:t>
      </w:r>
    </w:p>
    <w:p w14:paraId="62BB3F08" w14:textId="77777777" w:rsidR="00B14021" w:rsidRPr="00EE1CC1" w:rsidRDefault="00B14021" w:rsidP="006903BF">
      <w:pPr>
        <w:spacing w:line="240" w:lineRule="auto"/>
      </w:pPr>
      <w:r w:rsidRPr="00EE1CC1">
        <w:t xml:space="preserve">Beyond general financial tendencies, personality traits amplify or buffer common </w:t>
      </w:r>
      <w:proofErr w:type="spellStart"/>
      <w:r w:rsidRPr="00EE1CC1">
        <w:rPr>
          <w:b/>
          <w:bCs/>
        </w:rPr>
        <w:t>behavioral</w:t>
      </w:r>
      <w:proofErr w:type="spellEnd"/>
      <w:r w:rsidRPr="00EE1CC1">
        <w:rPr>
          <w:b/>
          <w:bCs/>
        </w:rPr>
        <w:t xml:space="preserve"> biases</w:t>
      </w:r>
      <w:r w:rsidRPr="00EE1CC1">
        <w:t>:</w:t>
      </w:r>
    </w:p>
    <w:p w14:paraId="446E009B" w14:textId="77777777" w:rsidR="00B14021" w:rsidRPr="00EE1CC1" w:rsidRDefault="00B14021" w:rsidP="006903BF">
      <w:pPr>
        <w:numPr>
          <w:ilvl w:val="0"/>
          <w:numId w:val="32"/>
        </w:numPr>
        <w:spacing w:line="240" w:lineRule="auto"/>
      </w:pPr>
      <w:r w:rsidRPr="00EE1CC1">
        <w:rPr>
          <w:b/>
          <w:bCs/>
        </w:rPr>
        <w:t>Overconfidence Bias</w:t>
      </w:r>
      <w:r w:rsidRPr="00EE1CC1">
        <w:t xml:space="preserve">: Often linked to </w:t>
      </w:r>
      <w:r w:rsidRPr="00EE1CC1">
        <w:rPr>
          <w:b/>
          <w:bCs/>
        </w:rPr>
        <w:t>extraversion</w:t>
      </w:r>
      <w:r w:rsidRPr="00EE1CC1">
        <w:t>, leading to excessive trading or underestimation of risk.</w:t>
      </w:r>
    </w:p>
    <w:p w14:paraId="4B1A06F6" w14:textId="77777777" w:rsidR="00B14021" w:rsidRPr="00EE1CC1" w:rsidRDefault="00B14021" w:rsidP="006903BF">
      <w:pPr>
        <w:numPr>
          <w:ilvl w:val="0"/>
          <w:numId w:val="32"/>
        </w:numPr>
        <w:spacing w:line="240" w:lineRule="auto"/>
      </w:pPr>
      <w:r w:rsidRPr="00EE1CC1">
        <w:rPr>
          <w:b/>
          <w:bCs/>
        </w:rPr>
        <w:t>Loss Aversion and Panic Selling</w:t>
      </w:r>
      <w:r w:rsidRPr="00EE1CC1">
        <w:t xml:space="preserve">: Amplified by </w:t>
      </w:r>
      <w:r w:rsidRPr="00EE1CC1">
        <w:rPr>
          <w:b/>
          <w:bCs/>
        </w:rPr>
        <w:t>neuroticism</w:t>
      </w:r>
      <w:r w:rsidRPr="00EE1CC1">
        <w:t>, causing individuals to sell prematurely during downturns.</w:t>
      </w:r>
    </w:p>
    <w:p w14:paraId="4089DE3D" w14:textId="77777777" w:rsidR="00B14021" w:rsidRPr="00EE1CC1" w:rsidRDefault="00B14021" w:rsidP="006903BF">
      <w:pPr>
        <w:numPr>
          <w:ilvl w:val="0"/>
          <w:numId w:val="32"/>
        </w:numPr>
        <w:spacing w:line="240" w:lineRule="auto"/>
      </w:pPr>
      <w:r w:rsidRPr="00EE1CC1">
        <w:rPr>
          <w:b/>
          <w:bCs/>
        </w:rPr>
        <w:t>Present Bias (Short-termism)</w:t>
      </w:r>
      <w:r w:rsidRPr="00EE1CC1">
        <w:t xml:space="preserve">: Associated with </w:t>
      </w:r>
      <w:r w:rsidRPr="00EE1CC1">
        <w:rPr>
          <w:b/>
          <w:bCs/>
        </w:rPr>
        <w:t>low conscientiousness</w:t>
      </w:r>
      <w:r w:rsidRPr="00EE1CC1">
        <w:t xml:space="preserve"> and high impulsivity.</w:t>
      </w:r>
    </w:p>
    <w:p w14:paraId="041F9FF5" w14:textId="77777777" w:rsidR="00B14021" w:rsidRPr="00EE1CC1" w:rsidRDefault="00B14021" w:rsidP="006903BF">
      <w:pPr>
        <w:numPr>
          <w:ilvl w:val="0"/>
          <w:numId w:val="32"/>
        </w:numPr>
        <w:spacing w:line="240" w:lineRule="auto"/>
      </w:pPr>
      <w:r w:rsidRPr="00EE1CC1">
        <w:rPr>
          <w:b/>
          <w:bCs/>
        </w:rPr>
        <w:t>Herding and Social Influence</w:t>
      </w:r>
      <w:r w:rsidRPr="00EE1CC1">
        <w:t xml:space="preserve">: More pronounced in </w:t>
      </w:r>
      <w:r w:rsidRPr="00EE1CC1">
        <w:rPr>
          <w:b/>
          <w:bCs/>
        </w:rPr>
        <w:t>agreeable</w:t>
      </w:r>
      <w:r w:rsidRPr="00EE1CC1">
        <w:t xml:space="preserve"> individuals, who may over-rely on peer advice.</w:t>
      </w:r>
    </w:p>
    <w:p w14:paraId="4C482CA8" w14:textId="77777777" w:rsidR="00B14021" w:rsidRPr="00EE1CC1" w:rsidRDefault="00B14021" w:rsidP="006903BF">
      <w:pPr>
        <w:numPr>
          <w:ilvl w:val="0"/>
          <w:numId w:val="32"/>
        </w:numPr>
        <w:spacing w:line="240" w:lineRule="auto"/>
      </w:pPr>
      <w:r w:rsidRPr="00EE1CC1">
        <w:rPr>
          <w:b/>
          <w:bCs/>
        </w:rPr>
        <w:t>Risk-taking Biases</w:t>
      </w:r>
      <w:r w:rsidRPr="00EE1CC1">
        <w:t xml:space="preserve">: Strongly tied to </w:t>
      </w:r>
      <w:r w:rsidRPr="00EE1CC1">
        <w:rPr>
          <w:b/>
          <w:bCs/>
        </w:rPr>
        <w:t>openness</w:t>
      </w:r>
      <w:r w:rsidRPr="00EE1CC1">
        <w:t>, where innovation-seeking may outweigh rational evaluation of risks.</w:t>
      </w:r>
    </w:p>
    <w:p w14:paraId="07E5FAC8" w14:textId="77777777" w:rsidR="00B14021" w:rsidRDefault="00B14021" w:rsidP="006903BF">
      <w:pPr>
        <w:spacing w:line="240" w:lineRule="auto"/>
      </w:pPr>
      <w:r w:rsidRPr="00EE1CC1">
        <w:lastRenderedPageBreak/>
        <w:t xml:space="preserve">This mapping of personality to </w:t>
      </w:r>
      <w:proofErr w:type="spellStart"/>
      <w:r w:rsidRPr="00EE1CC1">
        <w:t>behavioral</w:t>
      </w:r>
      <w:proofErr w:type="spellEnd"/>
      <w:r w:rsidRPr="00EE1CC1">
        <w:t xml:space="preserve"> biases aligns with DNA </w:t>
      </w:r>
      <w:proofErr w:type="spellStart"/>
      <w:r w:rsidRPr="00EE1CC1">
        <w:t>Behavior’s</w:t>
      </w:r>
      <w:proofErr w:type="spellEnd"/>
      <w:r w:rsidRPr="00EE1CC1">
        <w:t xml:space="preserve"> science-based profiling of </w:t>
      </w:r>
      <w:proofErr w:type="spellStart"/>
      <w:r w:rsidRPr="00EE1CC1">
        <w:rPr>
          <w:b/>
          <w:bCs/>
        </w:rPr>
        <w:t>behavioral</w:t>
      </w:r>
      <w:proofErr w:type="spellEnd"/>
      <w:r w:rsidRPr="00EE1CC1">
        <w:rPr>
          <w:b/>
          <w:bCs/>
        </w:rPr>
        <w:t xml:space="preserve"> styles</w:t>
      </w:r>
      <w:r w:rsidRPr="00EE1CC1">
        <w:t xml:space="preserve"> and its predictive models for financial decision-making</w:t>
      </w:r>
      <w:r>
        <w:t>.</w:t>
      </w:r>
    </w:p>
    <w:p w14:paraId="1CD284A7" w14:textId="77777777" w:rsidR="00B14021" w:rsidRPr="00EE1CC1" w:rsidRDefault="00000000" w:rsidP="006903BF">
      <w:pPr>
        <w:spacing w:line="240" w:lineRule="auto"/>
      </w:pPr>
      <w:r>
        <w:pict w14:anchorId="6F72EE20">
          <v:rect id="_x0000_i1028" style="width:0;height:1.5pt" o:hralign="center" o:hrstd="t" o:hr="t" fillcolor="#a0a0a0" stroked="f"/>
        </w:pict>
      </w:r>
    </w:p>
    <w:p w14:paraId="5337C4C5" w14:textId="77777777" w:rsidR="00B14021" w:rsidRPr="00EE1CC1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>4</w:t>
      </w:r>
      <w:r w:rsidRPr="00EE1CC1">
        <w:rPr>
          <w:b/>
          <w:bCs/>
        </w:rPr>
        <w:t xml:space="preserve">. </w:t>
      </w:r>
      <w:r>
        <w:rPr>
          <w:b/>
          <w:bCs/>
        </w:rPr>
        <w:t>Reconciling Big 5 Personality Traits to DNA Behavior Trait Measurement</w:t>
      </w:r>
    </w:p>
    <w:p w14:paraId="1D84AC0F" w14:textId="77777777" w:rsidR="00B14021" w:rsidRDefault="00B14021" w:rsidP="006903BF">
      <w:pPr>
        <w:spacing w:line="240" w:lineRule="auto"/>
      </w:pPr>
      <w:r>
        <w:t xml:space="preserve">The DNA Natural Behavior Discovery Process measures 8 primary factors of </w:t>
      </w:r>
      <w:proofErr w:type="spellStart"/>
      <w:r>
        <w:t>behavior</w:t>
      </w:r>
      <w:proofErr w:type="spellEnd"/>
      <w:r>
        <w:t xml:space="preserve"> with sixteen primary traits. We have reconciled these DNA Behavior traits to the Big 5 in the table below. </w:t>
      </w:r>
    </w:p>
    <w:p w14:paraId="05C983E9" w14:textId="77777777" w:rsidR="00B14021" w:rsidRDefault="00B14021" w:rsidP="006903BF">
      <w:pPr>
        <w:spacing w:line="240" w:lineRule="auto"/>
      </w:pPr>
      <w:r>
        <w:t xml:space="preserve">In most cases, DNA Behavior has measured financial </w:t>
      </w:r>
      <w:proofErr w:type="spellStart"/>
      <w:r>
        <w:t>behavior</w:t>
      </w:r>
      <w:proofErr w:type="spellEnd"/>
      <w:r>
        <w:t xml:space="preserve"> using multiple traits to achieve higher accuracy. However, each of the individual DNA Behavior traits used in measuring financial </w:t>
      </w:r>
      <w:proofErr w:type="spellStart"/>
      <w:r>
        <w:t>behavior</w:t>
      </w:r>
      <w:proofErr w:type="spellEnd"/>
      <w:r>
        <w:t xml:space="preserve"> are internally correlated and correlated to the Big 5 model.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0"/>
        <w:gridCol w:w="2073"/>
        <w:gridCol w:w="3157"/>
      </w:tblGrid>
      <w:tr w:rsidR="00B14021" w14:paraId="3174C882" w14:textId="77777777" w:rsidTr="0046742B">
        <w:tc>
          <w:tcPr>
            <w:tcW w:w="0" w:type="auto"/>
            <w:shd w:val="clear" w:color="auto" w:fill="00264C" w:themeFill="accent2" w:themeFillShade="BF"/>
          </w:tcPr>
          <w:p w14:paraId="1ED62790" w14:textId="77777777" w:rsidR="00B14021" w:rsidRPr="002B124B" w:rsidRDefault="00B14021" w:rsidP="006903BF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2B124B">
              <w:rPr>
                <w:b/>
                <w:bCs/>
                <w:color w:val="FFFFFF" w:themeColor="background1"/>
              </w:rPr>
              <w:t>Behavior Exhibited</w:t>
            </w:r>
          </w:p>
        </w:tc>
        <w:tc>
          <w:tcPr>
            <w:tcW w:w="0" w:type="auto"/>
            <w:shd w:val="clear" w:color="auto" w:fill="00264C" w:themeFill="accent2" w:themeFillShade="BF"/>
          </w:tcPr>
          <w:p w14:paraId="18B86F58" w14:textId="77777777" w:rsidR="00B14021" w:rsidRPr="002B124B" w:rsidRDefault="00B14021" w:rsidP="006903BF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2B124B">
              <w:rPr>
                <w:b/>
                <w:bCs/>
                <w:color w:val="FFFFFF" w:themeColor="background1"/>
              </w:rPr>
              <w:t>Big Five Model</w:t>
            </w:r>
          </w:p>
        </w:tc>
        <w:tc>
          <w:tcPr>
            <w:tcW w:w="0" w:type="auto"/>
            <w:shd w:val="clear" w:color="auto" w:fill="00264C" w:themeFill="accent2" w:themeFillShade="BF"/>
          </w:tcPr>
          <w:p w14:paraId="76944700" w14:textId="77777777" w:rsidR="00B14021" w:rsidRPr="002B124B" w:rsidRDefault="00B14021" w:rsidP="006903BF">
            <w:pPr>
              <w:spacing w:line="240" w:lineRule="auto"/>
              <w:rPr>
                <w:b/>
                <w:bCs/>
                <w:color w:val="FFFFFF" w:themeColor="background1"/>
              </w:rPr>
            </w:pPr>
            <w:r w:rsidRPr="002B124B">
              <w:rPr>
                <w:b/>
                <w:bCs/>
                <w:color w:val="FFFFFF" w:themeColor="background1"/>
              </w:rPr>
              <w:t>DNA Behavior Traits</w:t>
            </w:r>
          </w:p>
        </w:tc>
      </w:tr>
      <w:tr w:rsidR="00B14021" w14:paraId="739E2712" w14:textId="77777777" w:rsidTr="0046742B">
        <w:tc>
          <w:tcPr>
            <w:tcW w:w="0" w:type="auto"/>
          </w:tcPr>
          <w:p w14:paraId="683CE04A" w14:textId="77777777" w:rsidR="00B14021" w:rsidRDefault="00B14021" w:rsidP="006903BF">
            <w:pPr>
              <w:spacing w:line="240" w:lineRule="auto"/>
            </w:pPr>
            <w:r>
              <w:t>H</w:t>
            </w:r>
            <w:r w:rsidRPr="00EE1CC1">
              <w:t>igher savings, lower debt</w:t>
            </w:r>
            <w:r>
              <w:t xml:space="preserve"> (debt repayment)</w:t>
            </w:r>
            <w:r w:rsidRPr="00EE1CC1">
              <w:t>,</w:t>
            </w:r>
            <w:r>
              <w:t xml:space="preserve"> </w:t>
            </w:r>
            <w:r w:rsidRPr="00EE1CC1">
              <w:t>long-term planning</w:t>
            </w:r>
            <w:r>
              <w:t xml:space="preserve"> and self-control</w:t>
            </w:r>
            <w:r w:rsidRPr="00EE1CC1">
              <w:t>.</w:t>
            </w:r>
          </w:p>
        </w:tc>
        <w:tc>
          <w:tcPr>
            <w:tcW w:w="0" w:type="auto"/>
          </w:tcPr>
          <w:p w14:paraId="02757883" w14:textId="77777777" w:rsidR="00B14021" w:rsidRDefault="00B14021" w:rsidP="006903BF">
            <w:pPr>
              <w:spacing w:line="240" w:lineRule="auto"/>
            </w:pPr>
            <w:r>
              <w:t>Conscientiousness</w:t>
            </w:r>
          </w:p>
        </w:tc>
        <w:tc>
          <w:tcPr>
            <w:tcW w:w="0" w:type="auto"/>
          </w:tcPr>
          <w:p w14:paraId="6F9CF634" w14:textId="77777777" w:rsidR="00B14021" w:rsidRDefault="00B14021" w:rsidP="006903BF">
            <w:pPr>
              <w:spacing w:line="240" w:lineRule="auto"/>
            </w:pPr>
            <w:r>
              <w:t>Planned, Reserved</w:t>
            </w:r>
          </w:p>
        </w:tc>
      </w:tr>
      <w:tr w:rsidR="00B14021" w14:paraId="491CB4AC" w14:textId="77777777" w:rsidTr="0046742B">
        <w:tc>
          <w:tcPr>
            <w:tcW w:w="0" w:type="auto"/>
          </w:tcPr>
          <w:p w14:paraId="154DC9F7" w14:textId="77777777" w:rsidR="00B14021" w:rsidRDefault="00B14021" w:rsidP="006903BF">
            <w:pPr>
              <w:spacing w:line="240" w:lineRule="auto"/>
            </w:pPr>
            <w:r>
              <w:t>Financial anxiety</w:t>
            </w:r>
          </w:p>
        </w:tc>
        <w:tc>
          <w:tcPr>
            <w:tcW w:w="0" w:type="auto"/>
          </w:tcPr>
          <w:p w14:paraId="6449B5E9" w14:textId="77777777" w:rsidR="00B14021" w:rsidRDefault="00B14021" w:rsidP="006903BF">
            <w:pPr>
              <w:spacing w:line="240" w:lineRule="auto"/>
            </w:pPr>
            <w:r>
              <w:t>Neuroticism</w:t>
            </w:r>
          </w:p>
        </w:tc>
        <w:tc>
          <w:tcPr>
            <w:tcW w:w="0" w:type="auto"/>
          </w:tcPr>
          <w:p w14:paraId="7AD499C9" w14:textId="77777777" w:rsidR="00B14021" w:rsidRDefault="00B14021" w:rsidP="006903BF">
            <w:pPr>
              <w:spacing w:line="240" w:lineRule="auto"/>
            </w:pPr>
            <w:r>
              <w:t xml:space="preserve">Outgoing, </w:t>
            </w:r>
            <w:proofErr w:type="gramStart"/>
            <w:r>
              <w:t>Patient  (</w:t>
            </w:r>
            <w:proofErr w:type="gramEnd"/>
            <w:r>
              <w:t>low Financial EQ)</w:t>
            </w:r>
          </w:p>
        </w:tc>
      </w:tr>
      <w:tr w:rsidR="00B14021" w14:paraId="03F7BCA7" w14:textId="77777777" w:rsidTr="0046742B">
        <w:tc>
          <w:tcPr>
            <w:tcW w:w="0" w:type="auto"/>
          </w:tcPr>
          <w:p w14:paraId="6D4BFFAD" w14:textId="77777777" w:rsidR="00B14021" w:rsidRDefault="00B14021" w:rsidP="006903BF">
            <w:pPr>
              <w:spacing w:line="240" w:lineRule="auto"/>
            </w:pPr>
            <w:r>
              <w:t>Financial innovation and risk-taking</w:t>
            </w:r>
          </w:p>
        </w:tc>
        <w:tc>
          <w:tcPr>
            <w:tcW w:w="0" w:type="auto"/>
          </w:tcPr>
          <w:p w14:paraId="179C7DD8" w14:textId="77777777" w:rsidR="00B14021" w:rsidRDefault="00B14021" w:rsidP="006903BF">
            <w:pPr>
              <w:spacing w:line="240" w:lineRule="auto"/>
            </w:pPr>
            <w:r>
              <w:t>Openness to Experience</w:t>
            </w:r>
          </w:p>
        </w:tc>
        <w:tc>
          <w:tcPr>
            <w:tcW w:w="0" w:type="auto"/>
          </w:tcPr>
          <w:p w14:paraId="699493D2" w14:textId="77777777" w:rsidR="00B14021" w:rsidRDefault="00B14021" w:rsidP="006903BF">
            <w:pPr>
              <w:spacing w:line="240" w:lineRule="auto"/>
            </w:pPr>
            <w:r>
              <w:t>Creative, Risk-Taker</w:t>
            </w:r>
          </w:p>
        </w:tc>
      </w:tr>
      <w:tr w:rsidR="00B14021" w14:paraId="0D3643FC" w14:textId="77777777" w:rsidTr="0046742B">
        <w:tc>
          <w:tcPr>
            <w:tcW w:w="0" w:type="auto"/>
          </w:tcPr>
          <w:p w14:paraId="520D1295" w14:textId="77777777" w:rsidR="00B14021" w:rsidRDefault="00B14021" w:rsidP="006903BF">
            <w:pPr>
              <w:spacing w:line="240" w:lineRule="auto"/>
            </w:pPr>
            <w:r>
              <w:t>Impulse spending</w:t>
            </w:r>
          </w:p>
        </w:tc>
        <w:tc>
          <w:tcPr>
            <w:tcW w:w="0" w:type="auto"/>
          </w:tcPr>
          <w:p w14:paraId="5A8EB5A5" w14:textId="77777777" w:rsidR="00B14021" w:rsidRDefault="00B14021" w:rsidP="006903BF">
            <w:pPr>
              <w:spacing w:line="240" w:lineRule="auto"/>
            </w:pPr>
            <w:r>
              <w:t>Extraversion</w:t>
            </w:r>
          </w:p>
        </w:tc>
        <w:tc>
          <w:tcPr>
            <w:tcW w:w="0" w:type="auto"/>
          </w:tcPr>
          <w:p w14:paraId="2FDB5AC7" w14:textId="77777777" w:rsidR="00B14021" w:rsidRDefault="00B14021" w:rsidP="006903BF">
            <w:pPr>
              <w:spacing w:line="240" w:lineRule="auto"/>
            </w:pPr>
            <w:r>
              <w:t>Outgoing, Spontaneous</w:t>
            </w:r>
          </w:p>
        </w:tc>
      </w:tr>
      <w:tr w:rsidR="00B14021" w14:paraId="45913AAD" w14:textId="77777777" w:rsidTr="0046742B">
        <w:tc>
          <w:tcPr>
            <w:tcW w:w="0" w:type="auto"/>
          </w:tcPr>
          <w:p w14:paraId="75DADD28" w14:textId="77777777" w:rsidR="00B14021" w:rsidRDefault="00B14021" w:rsidP="006903BF">
            <w:pPr>
              <w:spacing w:line="240" w:lineRule="auto"/>
            </w:pPr>
            <w:r>
              <w:t>Generosity, scamming potential, risk aversion</w:t>
            </w:r>
          </w:p>
        </w:tc>
        <w:tc>
          <w:tcPr>
            <w:tcW w:w="0" w:type="auto"/>
          </w:tcPr>
          <w:p w14:paraId="686333BA" w14:textId="77777777" w:rsidR="00B14021" w:rsidRDefault="00B14021" w:rsidP="006903BF">
            <w:pPr>
              <w:spacing w:line="240" w:lineRule="auto"/>
            </w:pPr>
            <w:r>
              <w:t xml:space="preserve">Agreeableness </w:t>
            </w:r>
          </w:p>
        </w:tc>
        <w:tc>
          <w:tcPr>
            <w:tcW w:w="0" w:type="auto"/>
          </w:tcPr>
          <w:p w14:paraId="40C44B80" w14:textId="77777777" w:rsidR="00B14021" w:rsidRDefault="00B14021" w:rsidP="006903BF">
            <w:pPr>
              <w:spacing w:line="240" w:lineRule="auto"/>
            </w:pPr>
            <w:r>
              <w:t>Co-operative, Patient, Trusting, Cautious</w:t>
            </w:r>
          </w:p>
        </w:tc>
      </w:tr>
      <w:tr w:rsidR="00B14021" w14:paraId="3DD5605E" w14:textId="77777777" w:rsidTr="0046742B">
        <w:tc>
          <w:tcPr>
            <w:tcW w:w="0" w:type="auto"/>
          </w:tcPr>
          <w:p w14:paraId="6F84DC21" w14:textId="77777777" w:rsidR="00B14021" w:rsidRDefault="00B14021" w:rsidP="006903BF">
            <w:pPr>
              <w:spacing w:line="240" w:lineRule="auto"/>
            </w:pPr>
            <w:r>
              <w:t xml:space="preserve">Financial goal driven </w:t>
            </w:r>
          </w:p>
        </w:tc>
        <w:tc>
          <w:tcPr>
            <w:tcW w:w="0" w:type="auto"/>
          </w:tcPr>
          <w:p w14:paraId="56FDE3A9" w14:textId="77777777" w:rsidR="00B14021" w:rsidRDefault="00B14021" w:rsidP="006903BF">
            <w:pPr>
              <w:spacing w:line="240" w:lineRule="auto"/>
            </w:pPr>
            <w:r>
              <w:t>Low Agreeableness</w:t>
            </w:r>
          </w:p>
        </w:tc>
        <w:tc>
          <w:tcPr>
            <w:tcW w:w="0" w:type="auto"/>
          </w:tcPr>
          <w:p w14:paraId="6513A608" w14:textId="77777777" w:rsidR="00B14021" w:rsidRDefault="00B14021" w:rsidP="006903BF">
            <w:pPr>
              <w:spacing w:line="240" w:lineRule="auto"/>
            </w:pPr>
            <w:r>
              <w:t>Pioneering, Take Charge</w:t>
            </w:r>
          </w:p>
        </w:tc>
      </w:tr>
      <w:tr w:rsidR="00B14021" w14:paraId="0385564F" w14:textId="77777777" w:rsidTr="0046742B">
        <w:tc>
          <w:tcPr>
            <w:tcW w:w="0" w:type="auto"/>
          </w:tcPr>
          <w:p w14:paraId="3DDEB95C" w14:textId="77777777" w:rsidR="00B14021" w:rsidRDefault="00B14021" w:rsidP="006903BF">
            <w:pPr>
              <w:spacing w:line="240" w:lineRule="auto"/>
            </w:pPr>
            <w:r>
              <w:t>Overconfidence bias, over trading and under-estimation of risk</w:t>
            </w:r>
          </w:p>
        </w:tc>
        <w:tc>
          <w:tcPr>
            <w:tcW w:w="0" w:type="auto"/>
          </w:tcPr>
          <w:p w14:paraId="2479D5A4" w14:textId="77777777" w:rsidR="00B14021" w:rsidRDefault="00B14021" w:rsidP="006903BF">
            <w:pPr>
              <w:spacing w:line="240" w:lineRule="auto"/>
            </w:pPr>
            <w:r>
              <w:t>Extraversion</w:t>
            </w:r>
          </w:p>
        </w:tc>
        <w:tc>
          <w:tcPr>
            <w:tcW w:w="0" w:type="auto"/>
          </w:tcPr>
          <w:p w14:paraId="7105B889" w14:textId="77777777" w:rsidR="00B14021" w:rsidRDefault="00B14021" w:rsidP="006903BF">
            <w:pPr>
              <w:spacing w:line="240" w:lineRule="auto"/>
            </w:pPr>
            <w:r>
              <w:t>Outgoing, Risk-Taking, Fast Paced,</w:t>
            </w:r>
          </w:p>
        </w:tc>
      </w:tr>
      <w:tr w:rsidR="00B14021" w14:paraId="2D00F1DD" w14:textId="77777777" w:rsidTr="0046742B">
        <w:tc>
          <w:tcPr>
            <w:tcW w:w="0" w:type="auto"/>
          </w:tcPr>
          <w:p w14:paraId="2D4CD5F7" w14:textId="77777777" w:rsidR="00B14021" w:rsidRDefault="00B14021" w:rsidP="006903BF">
            <w:pPr>
              <w:spacing w:line="240" w:lineRule="auto"/>
            </w:pPr>
            <w:r>
              <w:t>Loss aversion and panic selling</w:t>
            </w:r>
          </w:p>
        </w:tc>
        <w:tc>
          <w:tcPr>
            <w:tcW w:w="0" w:type="auto"/>
          </w:tcPr>
          <w:p w14:paraId="77B92038" w14:textId="77777777" w:rsidR="00B14021" w:rsidRDefault="00B14021" w:rsidP="006903BF">
            <w:pPr>
              <w:spacing w:line="240" w:lineRule="auto"/>
            </w:pPr>
            <w:r>
              <w:t>Neuroticism</w:t>
            </w:r>
          </w:p>
        </w:tc>
        <w:tc>
          <w:tcPr>
            <w:tcW w:w="0" w:type="auto"/>
          </w:tcPr>
          <w:p w14:paraId="14160D17" w14:textId="77777777" w:rsidR="00B14021" w:rsidRDefault="00B14021" w:rsidP="006903BF">
            <w:pPr>
              <w:spacing w:line="240" w:lineRule="auto"/>
            </w:pPr>
            <w:r>
              <w:t>Patient, Outgoing (low Financial EQ)</w:t>
            </w:r>
          </w:p>
        </w:tc>
      </w:tr>
      <w:tr w:rsidR="00B14021" w14:paraId="08679D52" w14:textId="77777777" w:rsidTr="0046742B">
        <w:tc>
          <w:tcPr>
            <w:tcW w:w="0" w:type="auto"/>
          </w:tcPr>
          <w:p w14:paraId="184B8234" w14:textId="77777777" w:rsidR="00B14021" w:rsidRDefault="00B14021" w:rsidP="006903BF">
            <w:pPr>
              <w:spacing w:line="240" w:lineRule="auto"/>
            </w:pPr>
            <w:r>
              <w:t>Present bias</w:t>
            </w:r>
          </w:p>
        </w:tc>
        <w:tc>
          <w:tcPr>
            <w:tcW w:w="0" w:type="auto"/>
          </w:tcPr>
          <w:p w14:paraId="23CED358" w14:textId="77777777" w:rsidR="00B14021" w:rsidRDefault="00B14021" w:rsidP="006903BF">
            <w:pPr>
              <w:spacing w:line="240" w:lineRule="auto"/>
            </w:pPr>
            <w:r>
              <w:t>Low Conscientiousness</w:t>
            </w:r>
          </w:p>
        </w:tc>
        <w:tc>
          <w:tcPr>
            <w:tcW w:w="0" w:type="auto"/>
          </w:tcPr>
          <w:p w14:paraId="508E9143" w14:textId="77777777" w:rsidR="00B14021" w:rsidRDefault="00B14021" w:rsidP="006903BF">
            <w:pPr>
              <w:spacing w:line="240" w:lineRule="auto"/>
            </w:pPr>
            <w:r>
              <w:t>Spontaneous</w:t>
            </w:r>
          </w:p>
        </w:tc>
      </w:tr>
      <w:tr w:rsidR="00B14021" w14:paraId="66D3A107" w14:textId="77777777" w:rsidTr="0046742B">
        <w:tc>
          <w:tcPr>
            <w:tcW w:w="0" w:type="auto"/>
          </w:tcPr>
          <w:p w14:paraId="0A0B0E70" w14:textId="77777777" w:rsidR="00B14021" w:rsidRDefault="00B14021" w:rsidP="006903BF">
            <w:pPr>
              <w:spacing w:line="240" w:lineRule="auto"/>
            </w:pPr>
            <w:r>
              <w:t>Herding and social influence</w:t>
            </w:r>
          </w:p>
        </w:tc>
        <w:tc>
          <w:tcPr>
            <w:tcW w:w="0" w:type="auto"/>
          </w:tcPr>
          <w:p w14:paraId="65358247" w14:textId="77777777" w:rsidR="00B14021" w:rsidRDefault="00B14021" w:rsidP="006903BF">
            <w:pPr>
              <w:spacing w:line="240" w:lineRule="auto"/>
            </w:pPr>
            <w:r>
              <w:t>Agreeableness</w:t>
            </w:r>
          </w:p>
        </w:tc>
        <w:tc>
          <w:tcPr>
            <w:tcW w:w="0" w:type="auto"/>
          </w:tcPr>
          <w:p w14:paraId="50D3C259" w14:textId="77777777" w:rsidR="00B14021" w:rsidRDefault="00B14021" w:rsidP="006903BF">
            <w:pPr>
              <w:spacing w:line="240" w:lineRule="auto"/>
            </w:pPr>
            <w:r>
              <w:t>Outgoing and Co-operative</w:t>
            </w:r>
          </w:p>
        </w:tc>
      </w:tr>
      <w:tr w:rsidR="00B14021" w14:paraId="0F734D9B" w14:textId="77777777" w:rsidTr="0046742B">
        <w:tc>
          <w:tcPr>
            <w:tcW w:w="0" w:type="auto"/>
          </w:tcPr>
          <w:p w14:paraId="5FD57B6F" w14:textId="77777777" w:rsidR="00B14021" w:rsidRDefault="00B14021" w:rsidP="006903BF">
            <w:pPr>
              <w:spacing w:line="240" w:lineRule="auto"/>
            </w:pPr>
            <w:r>
              <w:t>Risk-taking biases</w:t>
            </w:r>
          </w:p>
        </w:tc>
        <w:tc>
          <w:tcPr>
            <w:tcW w:w="0" w:type="auto"/>
          </w:tcPr>
          <w:p w14:paraId="1BED2EC3" w14:textId="77777777" w:rsidR="00B14021" w:rsidRDefault="00B14021" w:rsidP="006903BF">
            <w:pPr>
              <w:spacing w:line="240" w:lineRule="auto"/>
            </w:pPr>
            <w:r>
              <w:t>Openness</w:t>
            </w:r>
          </w:p>
        </w:tc>
        <w:tc>
          <w:tcPr>
            <w:tcW w:w="0" w:type="auto"/>
          </w:tcPr>
          <w:p w14:paraId="7527B5B8" w14:textId="77777777" w:rsidR="00B14021" w:rsidRDefault="00B14021" w:rsidP="006903BF">
            <w:pPr>
              <w:spacing w:line="240" w:lineRule="auto"/>
            </w:pPr>
            <w:r>
              <w:t>Risk-Taker (Bold and Risk-Tolerant, Creative and Take-Charge</w:t>
            </w:r>
          </w:p>
        </w:tc>
      </w:tr>
    </w:tbl>
    <w:p w14:paraId="5574ED3A" w14:textId="77777777" w:rsidR="00B14021" w:rsidRPr="009B567F" w:rsidRDefault="00000000" w:rsidP="006903BF">
      <w:pPr>
        <w:spacing w:line="240" w:lineRule="auto"/>
        <w:rPr>
          <w:lang w:val="en-US"/>
        </w:rPr>
      </w:pPr>
      <w:r>
        <w:rPr>
          <w:lang w:val="en-US"/>
        </w:rPr>
        <w:pict w14:anchorId="2726467A">
          <v:rect id="_x0000_i1029" style="width:0;height:1.5pt" o:hralign="center" o:hrstd="t" o:hr="t" fillcolor="#a0a0a0" stroked="f"/>
        </w:pict>
      </w:r>
    </w:p>
    <w:p w14:paraId="01BDB393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 xml:space="preserve">5. </w:t>
      </w:r>
      <w:r w:rsidRPr="00AD71C5">
        <w:rPr>
          <w:b/>
          <w:bCs/>
        </w:rPr>
        <w:t>Literature Review</w:t>
      </w:r>
    </w:p>
    <w:p w14:paraId="659EB849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>5.</w:t>
      </w:r>
      <w:r w:rsidRPr="00AD71C5">
        <w:rPr>
          <w:b/>
          <w:bCs/>
        </w:rPr>
        <w:t>1 Credit Card Behavior &amp; Debt</w:t>
      </w:r>
    </w:p>
    <w:p w14:paraId="3BE62F3D" w14:textId="5BCBEF79" w:rsidR="00894D27" w:rsidRDefault="00B14021" w:rsidP="006903BF">
      <w:pPr>
        <w:spacing w:line="240" w:lineRule="auto"/>
      </w:pPr>
      <w:r w:rsidRPr="00AD71C5">
        <w:t>Greene, Shy, and Stavins (2023) find that when controlling for demographics and income, credit</w:t>
      </w:r>
      <w:r w:rsidRPr="00AD71C5">
        <w:noBreakHyphen/>
        <w:t xml:space="preserve">card adopters who are </w:t>
      </w:r>
      <w:r w:rsidRPr="00AD71C5">
        <w:rPr>
          <w:b/>
          <w:bCs/>
        </w:rPr>
        <w:t>less conscientious</w:t>
      </w:r>
      <w:r w:rsidRPr="00AD71C5">
        <w:t xml:space="preserve">, </w:t>
      </w:r>
      <w:r w:rsidRPr="00AD71C5">
        <w:rPr>
          <w:b/>
          <w:bCs/>
        </w:rPr>
        <w:t>more open</w:t>
      </w:r>
      <w:r w:rsidRPr="00AD71C5">
        <w:t xml:space="preserve">, or </w:t>
      </w:r>
      <w:r w:rsidRPr="00AD71C5">
        <w:rPr>
          <w:b/>
          <w:bCs/>
        </w:rPr>
        <w:t>more agreeable</w:t>
      </w:r>
      <w:r w:rsidRPr="00AD71C5">
        <w:t xml:space="preserve"> are significantly more likely to revolve credit</w:t>
      </w:r>
      <w:r w:rsidRPr="00AD71C5">
        <w:noBreakHyphen/>
        <w:t xml:space="preserve">card debt </w:t>
      </w:r>
      <w:hyperlink r:id="rId11" w:tgtFrame="_blank" w:history="1">
        <w:r w:rsidRPr="00AD71C5">
          <w:rPr>
            <w:rStyle w:val="Hyperlink"/>
          </w:rPr>
          <w:t>Federal Reserve Bank of Boston+2Federal Reserve Bank of Atlanta+2</w:t>
        </w:r>
      </w:hyperlink>
      <w:r w:rsidRPr="00AD71C5">
        <w:t>.</w:t>
      </w:r>
    </w:p>
    <w:p w14:paraId="4551D7E8" w14:textId="77777777" w:rsidR="00C003F4" w:rsidRDefault="00C003F4" w:rsidP="006903BF">
      <w:pPr>
        <w:spacing w:line="240" w:lineRule="auto"/>
      </w:pPr>
    </w:p>
    <w:p w14:paraId="50E553E1" w14:textId="77777777" w:rsidR="00C003F4" w:rsidRPr="00AD71C5" w:rsidRDefault="00C003F4" w:rsidP="006903BF">
      <w:pPr>
        <w:spacing w:line="240" w:lineRule="auto"/>
      </w:pPr>
    </w:p>
    <w:p w14:paraId="3D480888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>5.</w:t>
      </w:r>
      <w:r w:rsidRPr="00AD71C5">
        <w:rPr>
          <w:b/>
          <w:bCs/>
        </w:rPr>
        <w:t>2. Investment Decisions &amp; Risk</w:t>
      </w:r>
    </w:p>
    <w:p w14:paraId="06CF4547" w14:textId="08CFB8E1" w:rsidR="00C003F4" w:rsidRDefault="00B14021" w:rsidP="006903BF">
      <w:pPr>
        <w:spacing w:line="240" w:lineRule="auto"/>
      </w:pPr>
      <w:r w:rsidRPr="00AD71C5">
        <w:t xml:space="preserve">Recent working papers (NBER) show that stable personality differences shape both investment beliefs and </w:t>
      </w:r>
      <w:proofErr w:type="spellStart"/>
      <w:r w:rsidRPr="00AD71C5">
        <w:t>behaviors</w:t>
      </w:r>
      <w:proofErr w:type="spellEnd"/>
      <w:r w:rsidRPr="00AD71C5">
        <w:t xml:space="preserve"> </w:t>
      </w:r>
      <w:hyperlink r:id="rId12" w:tgtFrame="_blank" w:history="1">
        <w:r w:rsidRPr="00AD71C5">
          <w:rPr>
            <w:rStyle w:val="Hyperlink"/>
          </w:rPr>
          <w:t>ScienceDirect+1</w:t>
        </w:r>
      </w:hyperlink>
      <w:r w:rsidRPr="00AD71C5">
        <w:t>.</w:t>
      </w:r>
    </w:p>
    <w:p w14:paraId="0F7C2B57" w14:textId="39AEED38" w:rsidR="00B14021" w:rsidRPr="00AD71C5" w:rsidRDefault="00B14021" w:rsidP="006903BF">
      <w:pPr>
        <w:spacing w:line="240" w:lineRule="auto"/>
      </w:pPr>
      <w:r w:rsidRPr="00AD71C5">
        <w:t xml:space="preserve">Further, research on UK retail investors indicates personality traits are more determinant of financial risk tolerance than emotional states </w:t>
      </w:r>
      <w:hyperlink r:id="rId13" w:tgtFrame="_blank" w:history="1">
        <w:r w:rsidRPr="00AD71C5">
          <w:rPr>
            <w:rStyle w:val="Hyperlink"/>
          </w:rPr>
          <w:t>ScienceDirect</w:t>
        </w:r>
      </w:hyperlink>
      <w:r w:rsidRPr="00AD71C5">
        <w:t>.</w:t>
      </w:r>
    </w:p>
    <w:p w14:paraId="29976B98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>5.</w:t>
      </w:r>
      <w:r w:rsidRPr="00AD71C5">
        <w:rPr>
          <w:b/>
          <w:bCs/>
        </w:rPr>
        <w:t>3 Financial Planning Outcomes</w:t>
      </w:r>
    </w:p>
    <w:p w14:paraId="31076888" w14:textId="77777777" w:rsidR="00B14021" w:rsidRPr="00AD71C5" w:rsidRDefault="00B14021" w:rsidP="006903BF">
      <w:pPr>
        <w:spacing w:line="240" w:lineRule="auto"/>
      </w:pPr>
      <w:r w:rsidRPr="00AD71C5">
        <w:t>Campbell, Exley, and Doyle (2023) provide a narrative review—mapping Big</w:t>
      </w:r>
      <w:r w:rsidRPr="00AD71C5">
        <w:rPr>
          <w:rFonts w:ascii="Arial" w:hAnsi="Arial" w:cs="Arial"/>
        </w:rPr>
        <w:t> </w:t>
      </w:r>
      <w:r w:rsidRPr="00AD71C5">
        <w:t xml:space="preserve">Five traits to outcomes like financial literacy, income, net worth, and risk tolerance, with strategic recommendations for advisors </w:t>
      </w:r>
      <w:hyperlink r:id="rId14" w:tgtFrame="_blank" w:history="1">
        <w:r w:rsidRPr="00AD71C5">
          <w:rPr>
            <w:rStyle w:val="Hyperlink"/>
          </w:rPr>
          <w:t>ScienceDirect+15Open Journals+15Federal Reserve Bank of Atlanta+15</w:t>
        </w:r>
      </w:hyperlink>
      <w:r w:rsidRPr="00AD71C5">
        <w:t>.</w:t>
      </w:r>
    </w:p>
    <w:p w14:paraId="0441F9BC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>5.</w:t>
      </w:r>
      <w:r w:rsidRPr="00AD71C5">
        <w:rPr>
          <w:b/>
          <w:bCs/>
        </w:rPr>
        <w:t>4 Household Finances &amp; Debt</w:t>
      </w:r>
    </w:p>
    <w:p w14:paraId="721649FB" w14:textId="77777777" w:rsidR="00B14021" w:rsidRPr="00AD71C5" w:rsidRDefault="00B14021" w:rsidP="006903BF">
      <w:pPr>
        <w:spacing w:line="240" w:lineRule="auto"/>
      </w:pPr>
      <w:r w:rsidRPr="00AD71C5">
        <w:t>Longitudinal analysis of British Household Panel Survey data reveals significant relationships between Big</w:t>
      </w:r>
      <w:r w:rsidRPr="00AD71C5">
        <w:rPr>
          <w:rFonts w:ascii="Arial" w:hAnsi="Arial" w:cs="Arial"/>
        </w:rPr>
        <w:t> </w:t>
      </w:r>
      <w:r w:rsidRPr="00AD71C5">
        <w:t xml:space="preserve">Five traits and unsecured debt and financial assets </w:t>
      </w:r>
      <w:hyperlink r:id="rId15" w:tgtFrame="_blank" w:history="1">
        <w:r w:rsidRPr="00AD71C5">
          <w:rPr>
            <w:rStyle w:val="Hyperlink"/>
          </w:rPr>
          <w:t>ScienceDirect+1</w:t>
        </w:r>
      </w:hyperlink>
      <w:r w:rsidRPr="00AD71C5">
        <w:t>.</w:t>
      </w:r>
    </w:p>
    <w:p w14:paraId="5C211439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>5.</w:t>
      </w:r>
      <w:r w:rsidRPr="00AD71C5">
        <w:rPr>
          <w:b/>
          <w:bCs/>
        </w:rPr>
        <w:t>5 Investment Biases</w:t>
      </w:r>
    </w:p>
    <w:p w14:paraId="7C11BA3A" w14:textId="77777777" w:rsidR="00B14021" w:rsidRPr="00AD71C5" w:rsidRDefault="00B14021" w:rsidP="006903BF">
      <w:pPr>
        <w:spacing w:line="240" w:lineRule="auto"/>
      </w:pPr>
      <w:r w:rsidRPr="00AD71C5">
        <w:t xml:space="preserve">A recent study published in </w:t>
      </w:r>
      <w:r w:rsidRPr="00AD71C5">
        <w:rPr>
          <w:i/>
          <w:iCs/>
        </w:rPr>
        <w:t>Emerald</w:t>
      </w:r>
      <w:r w:rsidRPr="00AD71C5">
        <w:t xml:space="preserve"> investigated associations between the Big</w:t>
      </w:r>
      <w:r w:rsidRPr="00AD71C5">
        <w:rPr>
          <w:rFonts w:ascii="Arial" w:hAnsi="Arial" w:cs="Arial"/>
        </w:rPr>
        <w:t> </w:t>
      </w:r>
      <w:r w:rsidRPr="00AD71C5">
        <w:t xml:space="preserve">Five and nine common investment biases, further moderated by financial literacy </w:t>
      </w:r>
      <w:hyperlink r:id="rId16" w:tgtFrame="_blank" w:history="1">
        <w:r w:rsidRPr="00AD71C5">
          <w:rPr>
            <w:rStyle w:val="Hyperlink"/>
          </w:rPr>
          <w:t>Emerald</w:t>
        </w:r>
      </w:hyperlink>
      <w:r w:rsidRPr="00AD71C5">
        <w:t>.</w:t>
      </w:r>
    </w:p>
    <w:p w14:paraId="4F223602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>5.</w:t>
      </w:r>
      <w:r w:rsidRPr="00AD71C5">
        <w:rPr>
          <w:b/>
          <w:bCs/>
        </w:rPr>
        <w:t>6 Personality &amp; Financial Well-Being</w:t>
      </w:r>
    </w:p>
    <w:p w14:paraId="6E7EDD24" w14:textId="77777777" w:rsidR="00B14021" w:rsidRPr="00AD71C5" w:rsidRDefault="00B14021" w:rsidP="006903BF">
      <w:pPr>
        <w:spacing w:line="240" w:lineRule="auto"/>
      </w:pPr>
      <w:r w:rsidRPr="00AD71C5">
        <w:t xml:space="preserve">Historical studies connecting traits like materialism, compulsive buying, saving, and debt suggest independent effects of personality on financial wealth and management </w:t>
      </w:r>
      <w:hyperlink r:id="rId17" w:tgtFrame="_blank" w:history="1">
        <w:r w:rsidRPr="00AD71C5">
          <w:rPr>
            <w:rStyle w:val="Hyperlink"/>
          </w:rPr>
          <w:t>ScienceDirect</w:t>
        </w:r>
      </w:hyperlink>
      <w:r w:rsidRPr="00AD71C5">
        <w:t>.</w:t>
      </w:r>
    </w:p>
    <w:p w14:paraId="13F695EF" w14:textId="77777777" w:rsidR="00B14021" w:rsidRPr="00AD71C5" w:rsidRDefault="00000000" w:rsidP="006903BF">
      <w:pPr>
        <w:spacing w:line="240" w:lineRule="auto"/>
      </w:pPr>
      <w:r>
        <w:pict w14:anchorId="026A6BC0">
          <v:rect id="_x0000_i1030" style="width:0;height:1.5pt" o:hralign="center" o:hrstd="t" o:hr="t" fillcolor="#a0a0a0" stroked="f"/>
        </w:pict>
      </w:r>
    </w:p>
    <w:p w14:paraId="75E29C02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 xml:space="preserve">6. </w:t>
      </w:r>
      <w:r w:rsidRPr="00AD71C5">
        <w:rPr>
          <w:b/>
          <w:bCs/>
        </w:rPr>
        <w:t xml:space="preserve">Key Findings </w:t>
      </w:r>
      <w:proofErr w:type="gramStart"/>
      <w:r w:rsidRPr="00AD71C5">
        <w:rPr>
          <w:b/>
          <w:bCs/>
        </w:rPr>
        <w:t>at a Glance</w:t>
      </w:r>
      <w:proofErr w:type="gramEnd"/>
    </w:p>
    <w:p w14:paraId="1187DCAF" w14:textId="77777777" w:rsidR="00B14021" w:rsidRPr="00AD71C5" w:rsidRDefault="00B14021" w:rsidP="006903BF">
      <w:pPr>
        <w:numPr>
          <w:ilvl w:val="0"/>
          <w:numId w:val="33"/>
        </w:numPr>
        <w:spacing w:line="240" w:lineRule="auto"/>
      </w:pPr>
      <w:r w:rsidRPr="00AD71C5">
        <w:rPr>
          <w:b/>
          <w:bCs/>
        </w:rPr>
        <w:t xml:space="preserve">Debt </w:t>
      </w:r>
      <w:proofErr w:type="spellStart"/>
      <w:r w:rsidRPr="00AD71C5">
        <w:rPr>
          <w:b/>
          <w:bCs/>
        </w:rPr>
        <w:t>behavior</w:t>
      </w:r>
      <w:proofErr w:type="spellEnd"/>
      <w:r w:rsidRPr="00AD71C5">
        <w:rPr>
          <w:b/>
          <w:bCs/>
        </w:rPr>
        <w:t xml:space="preserve"> (credit</w:t>
      </w:r>
      <w:r w:rsidRPr="00AD71C5">
        <w:rPr>
          <w:b/>
          <w:bCs/>
        </w:rPr>
        <w:noBreakHyphen/>
        <w:t>card debt)</w:t>
      </w:r>
      <w:r w:rsidRPr="00AD71C5">
        <w:t xml:space="preserve">: Clients low in </w:t>
      </w:r>
      <w:r w:rsidRPr="00AD71C5">
        <w:rPr>
          <w:b/>
          <w:bCs/>
        </w:rPr>
        <w:t>Conscientiousness</w:t>
      </w:r>
      <w:r w:rsidRPr="00AD71C5">
        <w:t xml:space="preserve"> or higher in </w:t>
      </w:r>
      <w:r w:rsidRPr="00AD71C5">
        <w:rPr>
          <w:b/>
          <w:bCs/>
        </w:rPr>
        <w:t>Openness</w:t>
      </w:r>
      <w:r w:rsidRPr="00AD71C5">
        <w:t xml:space="preserve"> or </w:t>
      </w:r>
      <w:r w:rsidRPr="00AD71C5">
        <w:rPr>
          <w:b/>
          <w:bCs/>
        </w:rPr>
        <w:t>Agreeableness</w:t>
      </w:r>
      <w:r w:rsidRPr="00AD71C5">
        <w:t xml:space="preserve"> are more likely to revolve debt, even after controlling for income and demographics </w:t>
      </w:r>
      <w:hyperlink r:id="rId18" w:tgtFrame="_blank" w:history="1">
        <w:proofErr w:type="spellStart"/>
        <w:r w:rsidRPr="00AD71C5">
          <w:rPr>
            <w:rStyle w:val="Hyperlink"/>
          </w:rPr>
          <w:t>ScienceDirect</w:t>
        </w:r>
      </w:hyperlink>
      <w:hyperlink r:id="rId19" w:tgtFrame="_blank" w:history="1">
        <w:r w:rsidRPr="00AD71C5">
          <w:rPr>
            <w:rStyle w:val="Hyperlink"/>
          </w:rPr>
          <w:t>Federal</w:t>
        </w:r>
        <w:proofErr w:type="spellEnd"/>
        <w:r w:rsidRPr="00AD71C5">
          <w:rPr>
            <w:rStyle w:val="Hyperlink"/>
          </w:rPr>
          <w:t xml:space="preserve"> Reserve Bank of Boston+2Federal Reserve Bank of Atlanta+2</w:t>
        </w:r>
      </w:hyperlink>
      <w:r w:rsidRPr="00AD71C5">
        <w:t>.</w:t>
      </w:r>
    </w:p>
    <w:p w14:paraId="2429E50A" w14:textId="77777777" w:rsidR="00B14021" w:rsidRPr="00AD71C5" w:rsidRDefault="00B14021" w:rsidP="006903BF">
      <w:pPr>
        <w:numPr>
          <w:ilvl w:val="0"/>
          <w:numId w:val="33"/>
        </w:numPr>
        <w:spacing w:line="240" w:lineRule="auto"/>
      </w:pPr>
      <w:r w:rsidRPr="00AD71C5">
        <w:rPr>
          <w:b/>
          <w:bCs/>
        </w:rPr>
        <w:t>Investment style &amp; risk tolerance</w:t>
      </w:r>
      <w:r w:rsidRPr="00AD71C5">
        <w:t xml:space="preserve">: Stable traits drive investment beliefs and decisions. Personality predicts risk tolerance even more strongly than mood or situational factors </w:t>
      </w:r>
      <w:hyperlink r:id="rId20" w:tgtFrame="_blank" w:history="1">
        <w:r w:rsidRPr="00AD71C5">
          <w:rPr>
            <w:rStyle w:val="Hyperlink"/>
          </w:rPr>
          <w:t>ScienceDirect+1</w:t>
        </w:r>
      </w:hyperlink>
      <w:hyperlink r:id="rId21" w:tgtFrame="_blank" w:history="1">
        <w:r w:rsidRPr="00AD71C5">
          <w:rPr>
            <w:rStyle w:val="Hyperlink"/>
          </w:rPr>
          <w:t>NBER</w:t>
        </w:r>
      </w:hyperlink>
      <w:r w:rsidRPr="00AD71C5">
        <w:t>.</w:t>
      </w:r>
    </w:p>
    <w:p w14:paraId="764484B3" w14:textId="77777777" w:rsidR="00B14021" w:rsidRPr="00AD71C5" w:rsidRDefault="00B14021" w:rsidP="006903BF">
      <w:pPr>
        <w:numPr>
          <w:ilvl w:val="0"/>
          <w:numId w:val="33"/>
        </w:numPr>
        <w:spacing w:line="240" w:lineRule="auto"/>
      </w:pPr>
      <w:r w:rsidRPr="00AD71C5">
        <w:rPr>
          <w:b/>
          <w:bCs/>
        </w:rPr>
        <w:t>Financial planning outcomes</w:t>
      </w:r>
      <w:r w:rsidRPr="00AD71C5">
        <w:t xml:space="preserve">: Traits map to financial literacy, net worth, income, and risk tolerance—meaning advisors can better tailor advice using personality insights </w:t>
      </w:r>
      <w:hyperlink r:id="rId22" w:tgtFrame="_blank" w:history="1">
        <w:r w:rsidRPr="00AD71C5">
          <w:rPr>
            <w:rStyle w:val="Hyperlink"/>
          </w:rPr>
          <w:t>Open Journals</w:t>
        </w:r>
      </w:hyperlink>
      <w:r w:rsidRPr="00AD71C5">
        <w:t>.</w:t>
      </w:r>
    </w:p>
    <w:p w14:paraId="3DA3BF96" w14:textId="77777777" w:rsidR="00B14021" w:rsidRPr="00AD71C5" w:rsidRDefault="00B14021" w:rsidP="006903BF">
      <w:pPr>
        <w:numPr>
          <w:ilvl w:val="0"/>
          <w:numId w:val="33"/>
        </w:numPr>
        <w:spacing w:line="240" w:lineRule="auto"/>
      </w:pPr>
      <w:r w:rsidRPr="00AD71C5">
        <w:rPr>
          <w:b/>
          <w:bCs/>
        </w:rPr>
        <w:t>Debt &amp; assets</w:t>
      </w:r>
      <w:r w:rsidRPr="00AD71C5">
        <w:t xml:space="preserve">: Long-term data shows that personality traits influence debt accumulation and asset ownership </w:t>
      </w:r>
      <w:hyperlink r:id="rId23" w:tgtFrame="_blank" w:history="1">
        <w:r w:rsidRPr="00AD71C5">
          <w:rPr>
            <w:rStyle w:val="Hyperlink"/>
          </w:rPr>
          <w:t>ScienceDirect</w:t>
        </w:r>
      </w:hyperlink>
      <w:r w:rsidRPr="00AD71C5">
        <w:t>.</w:t>
      </w:r>
    </w:p>
    <w:p w14:paraId="4DF9C15F" w14:textId="77777777" w:rsidR="00B14021" w:rsidRDefault="00B14021" w:rsidP="006903BF">
      <w:pPr>
        <w:numPr>
          <w:ilvl w:val="0"/>
          <w:numId w:val="33"/>
        </w:numPr>
        <w:spacing w:line="240" w:lineRule="auto"/>
      </w:pPr>
      <w:r w:rsidRPr="00AD71C5">
        <w:rPr>
          <w:b/>
          <w:bCs/>
        </w:rPr>
        <w:lastRenderedPageBreak/>
        <w:t>Biases in investing</w:t>
      </w:r>
      <w:r w:rsidRPr="00AD71C5">
        <w:t>: Big</w:t>
      </w:r>
      <w:r w:rsidRPr="00AD71C5">
        <w:rPr>
          <w:rFonts w:ascii="Arial" w:hAnsi="Arial" w:cs="Arial"/>
        </w:rPr>
        <w:t> </w:t>
      </w:r>
      <w:r w:rsidRPr="00AD71C5">
        <w:t xml:space="preserve">Five traits align with common investment biases, and financial literacy can modify these tendencies </w:t>
      </w:r>
      <w:hyperlink r:id="rId24" w:tgtFrame="_blank" w:history="1">
        <w:r w:rsidRPr="00AD71C5">
          <w:rPr>
            <w:rStyle w:val="Hyperlink"/>
          </w:rPr>
          <w:t>Emerald+2ResearchGate+2</w:t>
        </w:r>
      </w:hyperlink>
      <w:r w:rsidRPr="00AD71C5">
        <w:t>.</w:t>
      </w:r>
    </w:p>
    <w:p w14:paraId="4BD9EA7C" w14:textId="7097E19A" w:rsidR="00F75DD6" w:rsidRPr="00AD71C5" w:rsidRDefault="00000000" w:rsidP="00F75DD6">
      <w:pPr>
        <w:spacing w:line="240" w:lineRule="auto"/>
        <w:ind w:left="720"/>
      </w:pPr>
      <w:r>
        <w:pict w14:anchorId="78B91CEE">
          <v:rect id="_x0000_i1031" style="width:0;height:1.5pt" o:hralign="center" o:hrstd="t" o:hr="t" fillcolor="#a0a0a0" stroked="f"/>
        </w:pict>
      </w:r>
    </w:p>
    <w:p w14:paraId="017C383A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 xml:space="preserve">7. </w:t>
      </w:r>
      <w:r w:rsidRPr="00AD71C5">
        <w:rPr>
          <w:b/>
          <w:bCs/>
        </w:rPr>
        <w:t>Why This Matters for Advisors</w:t>
      </w:r>
    </w:p>
    <w:p w14:paraId="1585ACF7" w14:textId="77777777" w:rsidR="00B14021" w:rsidRPr="00AD71C5" w:rsidRDefault="00B14021" w:rsidP="006903BF">
      <w:pPr>
        <w:spacing w:line="240" w:lineRule="auto"/>
      </w:pPr>
      <w:r w:rsidRPr="00AD71C5">
        <w:t>Understanding personality helps:</w:t>
      </w:r>
    </w:p>
    <w:p w14:paraId="4449336F" w14:textId="77777777" w:rsidR="00B14021" w:rsidRPr="00AD71C5" w:rsidRDefault="00B14021" w:rsidP="006903BF">
      <w:pPr>
        <w:numPr>
          <w:ilvl w:val="0"/>
          <w:numId w:val="34"/>
        </w:numPr>
        <w:spacing w:line="240" w:lineRule="auto"/>
      </w:pPr>
      <w:r w:rsidRPr="00AD71C5">
        <w:t xml:space="preserve">Anticipate clients’ likely financial </w:t>
      </w:r>
      <w:proofErr w:type="spellStart"/>
      <w:r w:rsidRPr="00AD71C5">
        <w:t>behaviors</w:t>
      </w:r>
      <w:proofErr w:type="spellEnd"/>
      <w:r w:rsidRPr="00AD71C5">
        <w:t xml:space="preserve"> and pitfalls.</w:t>
      </w:r>
    </w:p>
    <w:p w14:paraId="4746F50A" w14:textId="77777777" w:rsidR="00B14021" w:rsidRPr="00AD71C5" w:rsidRDefault="00B14021" w:rsidP="006903BF">
      <w:pPr>
        <w:numPr>
          <w:ilvl w:val="0"/>
          <w:numId w:val="34"/>
        </w:numPr>
        <w:spacing w:line="240" w:lineRule="auto"/>
      </w:pPr>
      <w:r w:rsidRPr="00AD71C5">
        <w:t>Adjust communication and strategies to fit clients’ trait profiles.</w:t>
      </w:r>
    </w:p>
    <w:p w14:paraId="08335C59" w14:textId="77777777" w:rsidR="00B14021" w:rsidRDefault="00B14021" w:rsidP="006903BF">
      <w:pPr>
        <w:numPr>
          <w:ilvl w:val="0"/>
          <w:numId w:val="34"/>
        </w:numPr>
        <w:spacing w:line="240" w:lineRule="auto"/>
      </w:pPr>
      <w:r w:rsidRPr="00AD71C5">
        <w:t xml:space="preserve">Build segmentation frameworks aligning advice with </w:t>
      </w:r>
      <w:proofErr w:type="spellStart"/>
      <w:r w:rsidRPr="00AD71C5">
        <w:t>behavioral</w:t>
      </w:r>
      <w:proofErr w:type="spellEnd"/>
      <w:r w:rsidRPr="00AD71C5">
        <w:t xml:space="preserve"> predispositions.</w:t>
      </w:r>
    </w:p>
    <w:p w14:paraId="356A8266" w14:textId="196E902F" w:rsidR="00B14021" w:rsidRPr="00AD71C5" w:rsidRDefault="00000000" w:rsidP="006903BF">
      <w:pPr>
        <w:spacing w:line="240" w:lineRule="auto"/>
        <w:ind w:left="720"/>
      </w:pPr>
      <w:r>
        <w:pict w14:anchorId="1314A0EE">
          <v:rect id="_x0000_i1032" style="width:0;height:1.5pt" o:hralign="center" o:hrstd="t" o:hr="t" fillcolor="#a0a0a0" stroked="f"/>
        </w:pict>
      </w:r>
    </w:p>
    <w:p w14:paraId="52194225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 xml:space="preserve">8. </w:t>
      </w:r>
      <w:r w:rsidRPr="00AD71C5">
        <w:rPr>
          <w:b/>
          <w:bCs/>
        </w:rPr>
        <w:t>Practical Takeaways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314"/>
        <w:gridCol w:w="3532"/>
        <w:gridCol w:w="3504"/>
      </w:tblGrid>
      <w:tr w:rsidR="00B14021" w:rsidRPr="00AD71C5" w14:paraId="243CF1ED" w14:textId="77777777" w:rsidTr="008C3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shd w:val="clear" w:color="auto" w:fill="00264C" w:themeFill="accent2" w:themeFillShade="BF"/>
            <w:hideMark/>
          </w:tcPr>
          <w:p w14:paraId="2E0B5D09" w14:textId="77777777" w:rsidR="00B14021" w:rsidRPr="00AD71C5" w:rsidRDefault="00B14021" w:rsidP="006903BF">
            <w:pPr>
              <w:spacing w:line="240" w:lineRule="auto"/>
              <w:rPr>
                <w:b w:val="0"/>
                <w:bCs w:val="0"/>
              </w:rPr>
            </w:pPr>
            <w:r w:rsidRPr="00AD71C5">
              <w:t>Trait Insight</w:t>
            </w:r>
          </w:p>
        </w:tc>
        <w:tc>
          <w:tcPr>
            <w:tcW w:w="0" w:type="auto"/>
            <w:shd w:val="clear" w:color="auto" w:fill="00264C" w:themeFill="accent2" w:themeFillShade="BF"/>
            <w:hideMark/>
          </w:tcPr>
          <w:p w14:paraId="04FCE2B6" w14:textId="77777777" w:rsidR="00B14021" w:rsidRPr="00AD71C5" w:rsidRDefault="00B14021" w:rsidP="006903B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D71C5">
              <w:t>Financial Behavior</w:t>
            </w:r>
          </w:p>
        </w:tc>
        <w:tc>
          <w:tcPr>
            <w:tcW w:w="0" w:type="auto"/>
            <w:shd w:val="clear" w:color="auto" w:fill="00264C" w:themeFill="accent2" w:themeFillShade="BF"/>
            <w:hideMark/>
          </w:tcPr>
          <w:p w14:paraId="74921BAF" w14:textId="77777777" w:rsidR="00B14021" w:rsidRPr="00AD71C5" w:rsidRDefault="00B14021" w:rsidP="006903BF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D71C5">
              <w:t>Advisor Action</w:t>
            </w:r>
          </w:p>
        </w:tc>
      </w:tr>
      <w:tr w:rsidR="00B14021" w:rsidRPr="00AD71C5" w14:paraId="0A089307" w14:textId="77777777" w:rsidTr="008C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19D38F" w14:textId="77777777" w:rsidR="00B14021" w:rsidRPr="00AD71C5" w:rsidRDefault="00B14021" w:rsidP="006903BF">
            <w:pPr>
              <w:spacing w:line="240" w:lineRule="auto"/>
            </w:pPr>
            <w:r w:rsidRPr="00AD71C5">
              <w:t>Low Conscientiousness</w:t>
            </w:r>
          </w:p>
        </w:tc>
        <w:tc>
          <w:tcPr>
            <w:tcW w:w="0" w:type="auto"/>
            <w:hideMark/>
          </w:tcPr>
          <w:p w14:paraId="66D5F335" w14:textId="77777777" w:rsidR="00B14021" w:rsidRPr="00AD71C5" w:rsidRDefault="00B14021" w:rsidP="006903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1C5">
              <w:t>High likelihood of revolving credit</w:t>
            </w:r>
            <w:r w:rsidRPr="00AD71C5">
              <w:noBreakHyphen/>
              <w:t>card debt</w:t>
            </w:r>
          </w:p>
        </w:tc>
        <w:tc>
          <w:tcPr>
            <w:tcW w:w="0" w:type="auto"/>
            <w:hideMark/>
          </w:tcPr>
          <w:p w14:paraId="38E0256D" w14:textId="77777777" w:rsidR="00B14021" w:rsidRPr="00AD71C5" w:rsidRDefault="00B14021" w:rsidP="006903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1C5">
              <w:t>Emphasize budgeting, reminders, automation</w:t>
            </w:r>
          </w:p>
        </w:tc>
      </w:tr>
      <w:tr w:rsidR="00B14021" w:rsidRPr="00AD71C5" w14:paraId="6D75C315" w14:textId="77777777" w:rsidTr="008C3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FD3183" w14:textId="77777777" w:rsidR="00B14021" w:rsidRPr="00AD71C5" w:rsidRDefault="00B14021" w:rsidP="006903BF">
            <w:pPr>
              <w:spacing w:line="240" w:lineRule="auto"/>
            </w:pPr>
            <w:r w:rsidRPr="00AD71C5">
              <w:t>High Openness</w:t>
            </w:r>
          </w:p>
        </w:tc>
        <w:tc>
          <w:tcPr>
            <w:tcW w:w="0" w:type="auto"/>
            <w:hideMark/>
          </w:tcPr>
          <w:p w14:paraId="5D612A62" w14:textId="77777777" w:rsidR="00B14021" w:rsidRPr="00AD71C5" w:rsidRDefault="00B14021" w:rsidP="006903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C5">
              <w:t>Exploration of new products, may lack discipline</w:t>
            </w:r>
          </w:p>
        </w:tc>
        <w:tc>
          <w:tcPr>
            <w:tcW w:w="0" w:type="auto"/>
            <w:hideMark/>
          </w:tcPr>
          <w:p w14:paraId="73A3C97D" w14:textId="77777777" w:rsidR="00B14021" w:rsidRPr="00AD71C5" w:rsidRDefault="00B14021" w:rsidP="006903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C5">
              <w:t>Guide experimentation with guardrails</w:t>
            </w:r>
          </w:p>
        </w:tc>
      </w:tr>
      <w:tr w:rsidR="00B14021" w:rsidRPr="00AD71C5" w14:paraId="4117E6F1" w14:textId="77777777" w:rsidTr="008C3F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C9F470" w14:textId="77777777" w:rsidR="00B14021" w:rsidRPr="00AD71C5" w:rsidRDefault="00B14021" w:rsidP="006903BF">
            <w:pPr>
              <w:spacing w:line="240" w:lineRule="auto"/>
            </w:pPr>
            <w:r w:rsidRPr="00AD71C5">
              <w:t>Low Risk Tolerance</w:t>
            </w:r>
          </w:p>
        </w:tc>
        <w:tc>
          <w:tcPr>
            <w:tcW w:w="0" w:type="auto"/>
            <w:hideMark/>
          </w:tcPr>
          <w:p w14:paraId="33B3579C" w14:textId="77777777" w:rsidR="00B14021" w:rsidRPr="00AD71C5" w:rsidRDefault="00B14021" w:rsidP="006903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1C5">
              <w:t>Avoidance of necessary growth opportunities</w:t>
            </w:r>
          </w:p>
        </w:tc>
        <w:tc>
          <w:tcPr>
            <w:tcW w:w="0" w:type="auto"/>
            <w:hideMark/>
          </w:tcPr>
          <w:p w14:paraId="0234DD3C" w14:textId="77777777" w:rsidR="00B14021" w:rsidRPr="00AD71C5" w:rsidRDefault="00B14021" w:rsidP="006903B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71C5">
              <w:t>Educate on balanced risk and long-term gain</w:t>
            </w:r>
          </w:p>
        </w:tc>
      </w:tr>
      <w:tr w:rsidR="00B14021" w:rsidRPr="00AD71C5" w14:paraId="76B1BB13" w14:textId="77777777" w:rsidTr="008C3F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038278" w14:textId="77777777" w:rsidR="00B14021" w:rsidRPr="00AD71C5" w:rsidRDefault="00B14021" w:rsidP="006903BF">
            <w:pPr>
              <w:spacing w:line="240" w:lineRule="auto"/>
            </w:pPr>
            <w:r w:rsidRPr="00AD71C5">
              <w:t>Susceptibility to Biases</w:t>
            </w:r>
          </w:p>
        </w:tc>
        <w:tc>
          <w:tcPr>
            <w:tcW w:w="0" w:type="auto"/>
            <w:hideMark/>
          </w:tcPr>
          <w:p w14:paraId="1AB11B0D" w14:textId="77777777" w:rsidR="00B14021" w:rsidRPr="00AD71C5" w:rsidRDefault="00B14021" w:rsidP="006903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C5">
              <w:t>More reactive to market noise</w:t>
            </w:r>
          </w:p>
        </w:tc>
        <w:tc>
          <w:tcPr>
            <w:tcW w:w="0" w:type="auto"/>
            <w:hideMark/>
          </w:tcPr>
          <w:p w14:paraId="176772F4" w14:textId="77777777" w:rsidR="00B14021" w:rsidRPr="00AD71C5" w:rsidRDefault="00B14021" w:rsidP="006903B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71C5">
              <w:t>Maintain rational framework in planning</w:t>
            </w:r>
          </w:p>
        </w:tc>
      </w:tr>
    </w:tbl>
    <w:p w14:paraId="1B62D033" w14:textId="77777777" w:rsidR="00B14021" w:rsidRPr="00AD71C5" w:rsidRDefault="00000000" w:rsidP="006903BF">
      <w:pPr>
        <w:spacing w:line="240" w:lineRule="auto"/>
      </w:pPr>
      <w:r>
        <w:pict w14:anchorId="47B4456B">
          <v:rect id="_x0000_i1033" style="width:0;height:1.5pt" o:hralign="center" o:hrstd="t" o:hr="t" fillcolor="#a0a0a0" stroked="f"/>
        </w:pict>
      </w:r>
    </w:p>
    <w:p w14:paraId="38D9F797" w14:textId="77777777" w:rsidR="00B14021" w:rsidRPr="00AD71C5" w:rsidRDefault="00B14021" w:rsidP="006903BF">
      <w:pPr>
        <w:spacing w:line="240" w:lineRule="auto"/>
        <w:rPr>
          <w:b/>
          <w:bCs/>
        </w:rPr>
      </w:pPr>
      <w:r>
        <w:rPr>
          <w:b/>
          <w:bCs/>
        </w:rPr>
        <w:t xml:space="preserve">9. </w:t>
      </w:r>
      <w:r w:rsidRPr="00AD71C5">
        <w:rPr>
          <w:b/>
          <w:bCs/>
        </w:rPr>
        <w:t>References (APA Style)</w:t>
      </w:r>
    </w:p>
    <w:p w14:paraId="1CFC2523" w14:textId="77777777" w:rsidR="00B14021" w:rsidRPr="00AD71C5" w:rsidRDefault="00B14021" w:rsidP="006903BF">
      <w:pPr>
        <w:numPr>
          <w:ilvl w:val="0"/>
          <w:numId w:val="35"/>
        </w:numPr>
        <w:spacing w:line="240" w:lineRule="auto"/>
      </w:pPr>
      <w:r w:rsidRPr="00AD71C5">
        <w:t>Campbell, W.</w:t>
      </w:r>
      <w:r w:rsidRPr="00AD71C5">
        <w:rPr>
          <w:rFonts w:ascii="Arial" w:hAnsi="Arial" w:cs="Arial"/>
        </w:rPr>
        <w:t> </w:t>
      </w:r>
      <w:r w:rsidRPr="00AD71C5">
        <w:t>K., Exley, J., &amp; Doyle, P.</w:t>
      </w:r>
      <w:r w:rsidRPr="00AD71C5">
        <w:rPr>
          <w:rFonts w:ascii="Arial" w:hAnsi="Arial" w:cs="Arial"/>
        </w:rPr>
        <w:t> </w:t>
      </w:r>
      <w:r w:rsidRPr="00AD71C5">
        <w:t xml:space="preserve">C. (2023). </w:t>
      </w:r>
      <w:r w:rsidRPr="00AD71C5">
        <w:rPr>
          <w:i/>
          <w:iCs/>
        </w:rPr>
        <w:t>The Big Five Personality Traits (OCEAN) and Financial Planning: A Narrative Review and Recommendations for Advisors</w:t>
      </w:r>
      <w:r w:rsidRPr="00AD71C5">
        <w:t xml:space="preserve">. Financial Services Review, 31(4), 228–245. </w:t>
      </w:r>
      <w:hyperlink r:id="rId25" w:tgtFrame="_blank" w:history="1">
        <w:r w:rsidRPr="00AD71C5">
          <w:rPr>
            <w:rStyle w:val="Hyperlink"/>
          </w:rPr>
          <w:t>5 Traits Test+4Open Journals+4en.wikipedia.org+4</w:t>
        </w:r>
      </w:hyperlink>
      <w:hyperlink r:id="rId26" w:tgtFrame="_blank" w:history="1">
        <w:r w:rsidRPr="00AD71C5">
          <w:rPr>
            <w:rStyle w:val="Hyperlink"/>
          </w:rPr>
          <w:t>Federal Reserve Bank of Atlanta+1</w:t>
        </w:r>
      </w:hyperlink>
      <w:hyperlink r:id="rId27" w:tgtFrame="_blank" w:history="1">
        <w:r w:rsidRPr="00AD71C5">
          <w:rPr>
            <w:rStyle w:val="Hyperlink"/>
          </w:rPr>
          <w:t>ScienceDirect+7kiplinger.com+7JIER+7</w:t>
        </w:r>
      </w:hyperlink>
      <w:hyperlink r:id="rId28" w:tgtFrame="_blank" w:history="1">
        <w:r w:rsidRPr="00AD71C5">
          <w:rPr>
            <w:rStyle w:val="Hyperlink"/>
          </w:rPr>
          <w:t>ScienceDirect+4Quizlet+4JETIR+4</w:t>
        </w:r>
      </w:hyperlink>
    </w:p>
    <w:p w14:paraId="10297BEC" w14:textId="77777777" w:rsidR="00B14021" w:rsidRPr="00AD71C5" w:rsidRDefault="00B14021" w:rsidP="006903BF">
      <w:pPr>
        <w:numPr>
          <w:ilvl w:val="0"/>
          <w:numId w:val="35"/>
        </w:numPr>
        <w:spacing w:line="240" w:lineRule="auto"/>
      </w:pPr>
      <w:r w:rsidRPr="00AD71C5">
        <w:t xml:space="preserve">Greene, C., Shy, O., &amp; Stavins, J. (2023). </w:t>
      </w:r>
      <w:r w:rsidRPr="00AD71C5">
        <w:rPr>
          <w:i/>
          <w:iCs/>
        </w:rPr>
        <w:t>Personality Traits and Financial Outcomes</w:t>
      </w:r>
      <w:r w:rsidRPr="00AD71C5">
        <w:t xml:space="preserve"> (Federal Reserve Research Working Paper No.</w:t>
      </w:r>
      <w:r w:rsidRPr="00AD71C5">
        <w:rPr>
          <w:rFonts w:ascii="Arial" w:hAnsi="Arial" w:cs="Arial"/>
        </w:rPr>
        <w:t> </w:t>
      </w:r>
      <w:r w:rsidRPr="00AD71C5">
        <w:t>23</w:t>
      </w:r>
      <w:r w:rsidRPr="00AD71C5">
        <w:noBreakHyphen/>
        <w:t xml:space="preserve">2). Federal Reserve Banks of Boston and Atlanta. </w:t>
      </w:r>
      <w:hyperlink r:id="rId29" w:tgtFrame="_blank" w:history="1">
        <w:r w:rsidRPr="00AD71C5">
          <w:rPr>
            <w:rStyle w:val="Hyperlink"/>
          </w:rPr>
          <w:t>Federal Reserve Bank of Boston+2Federal Reserve Bank of Atlanta+2</w:t>
        </w:r>
      </w:hyperlink>
    </w:p>
    <w:p w14:paraId="2283B5CC" w14:textId="77777777" w:rsidR="00B14021" w:rsidRPr="00AD71C5" w:rsidRDefault="00B14021" w:rsidP="006903BF">
      <w:pPr>
        <w:numPr>
          <w:ilvl w:val="0"/>
          <w:numId w:val="35"/>
        </w:numPr>
        <w:spacing w:line="240" w:lineRule="auto"/>
      </w:pPr>
      <w:r w:rsidRPr="00AD71C5">
        <w:rPr>
          <w:i/>
          <w:iCs/>
        </w:rPr>
        <w:t>Household finances and the ‘Big Five’ personality traits</w:t>
      </w:r>
      <w:r w:rsidRPr="00AD71C5">
        <w:t xml:space="preserve">. (2014). Journal of Economic Psychology, (British Household Panel Survey). </w:t>
      </w:r>
    </w:p>
    <w:p w14:paraId="31E21B44" w14:textId="77777777" w:rsidR="00B14021" w:rsidRPr="00AD71C5" w:rsidRDefault="00B14021" w:rsidP="006903BF">
      <w:pPr>
        <w:numPr>
          <w:ilvl w:val="0"/>
          <w:numId w:val="35"/>
        </w:numPr>
        <w:spacing w:line="240" w:lineRule="auto"/>
      </w:pPr>
      <w:r w:rsidRPr="00AD71C5">
        <w:rPr>
          <w:i/>
          <w:iCs/>
        </w:rPr>
        <w:t>Personality differences and investment decision-making</w:t>
      </w:r>
      <w:r w:rsidRPr="00AD71C5">
        <w:t xml:space="preserve">. (2025). NBER Working Paper. </w:t>
      </w:r>
    </w:p>
    <w:p w14:paraId="4A3CD678" w14:textId="77777777" w:rsidR="00B14021" w:rsidRPr="00AD71C5" w:rsidRDefault="00B14021" w:rsidP="006903BF">
      <w:pPr>
        <w:numPr>
          <w:ilvl w:val="0"/>
          <w:numId w:val="35"/>
        </w:numPr>
        <w:spacing w:line="240" w:lineRule="auto"/>
      </w:pPr>
      <w:r w:rsidRPr="00AD71C5">
        <w:rPr>
          <w:i/>
          <w:iCs/>
        </w:rPr>
        <w:t>The impact of personality traits on attitude to financial risk</w:t>
      </w:r>
      <w:r w:rsidRPr="00AD71C5">
        <w:t xml:space="preserve">. (2021). Journal of Behavioral and Experimental Finance. </w:t>
      </w:r>
    </w:p>
    <w:p w14:paraId="1AFCA079" w14:textId="77777777" w:rsidR="00B14021" w:rsidRPr="00AD71C5" w:rsidRDefault="00B14021" w:rsidP="006903BF">
      <w:pPr>
        <w:numPr>
          <w:ilvl w:val="0"/>
          <w:numId w:val="35"/>
        </w:numPr>
        <w:spacing w:line="240" w:lineRule="auto"/>
      </w:pPr>
      <w:r w:rsidRPr="00AD71C5">
        <w:rPr>
          <w:i/>
          <w:iCs/>
        </w:rPr>
        <w:t>The Big 5 personality traits and investment biases: the role of …</w:t>
      </w:r>
      <w:r w:rsidRPr="00AD71C5">
        <w:t xml:space="preserve"> (2025). </w:t>
      </w:r>
      <w:r w:rsidRPr="00AD71C5">
        <w:rPr>
          <w:i/>
          <w:iCs/>
        </w:rPr>
        <w:t>Emerald</w:t>
      </w:r>
      <w:r w:rsidRPr="00AD71C5">
        <w:t xml:space="preserve"> journal. </w:t>
      </w:r>
    </w:p>
    <w:p w14:paraId="68A5047E" w14:textId="77777777" w:rsidR="00B14021" w:rsidRPr="00AD71C5" w:rsidRDefault="00B14021" w:rsidP="006903BF">
      <w:pPr>
        <w:numPr>
          <w:ilvl w:val="0"/>
          <w:numId w:val="35"/>
        </w:numPr>
        <w:spacing w:line="240" w:lineRule="auto"/>
      </w:pPr>
      <w:r w:rsidRPr="00AD71C5">
        <w:rPr>
          <w:i/>
          <w:iCs/>
        </w:rPr>
        <w:lastRenderedPageBreak/>
        <w:t>The Big Five personality traits, material values, and financial well-being</w:t>
      </w:r>
      <w:r w:rsidRPr="00AD71C5">
        <w:t>. (2012). Journal examining savings, debt, and compulsive buying.</w:t>
      </w:r>
    </w:p>
    <w:p w14:paraId="1DAA3B01" w14:textId="77777777" w:rsidR="00B14021" w:rsidRPr="00EE1CC1" w:rsidRDefault="00000000" w:rsidP="006903BF">
      <w:pPr>
        <w:spacing w:line="240" w:lineRule="auto"/>
      </w:pPr>
      <w:r>
        <w:pict w14:anchorId="69D7FB34">
          <v:rect id="_x0000_i1034" style="width:0;height:1.5pt" o:hralign="center" o:hrstd="t" o:hr="t" fillcolor="#a0a0a0" stroked="f"/>
        </w:pict>
      </w:r>
    </w:p>
    <w:p w14:paraId="26A6580D" w14:textId="77777777" w:rsidR="00B14021" w:rsidRDefault="00B14021" w:rsidP="006903BF">
      <w:pPr>
        <w:spacing w:line="240" w:lineRule="auto"/>
        <w:rPr>
          <w:b/>
          <w:bCs/>
        </w:rPr>
      </w:pPr>
    </w:p>
    <w:p w14:paraId="568CB786" w14:textId="77777777" w:rsidR="00B14021" w:rsidRPr="007712F6" w:rsidRDefault="00B14021" w:rsidP="006903BF">
      <w:pPr>
        <w:spacing w:line="240" w:lineRule="auto"/>
        <w:rPr>
          <w:b/>
          <w:bCs/>
        </w:rPr>
      </w:pPr>
      <w:r>
        <w:rPr>
          <w:b/>
          <w:bCs/>
          <w:lang w:val="en-US"/>
        </w:rPr>
        <w:t>Learn More:</w:t>
      </w:r>
    </w:p>
    <w:p w14:paraId="6F69707C" w14:textId="77777777" w:rsidR="00B14021" w:rsidRPr="00C94FB2" w:rsidRDefault="00B14021" w:rsidP="006903BF">
      <w:pPr>
        <w:spacing w:line="240" w:lineRule="auto"/>
        <w:rPr>
          <w:b/>
          <w:bCs/>
        </w:rPr>
      </w:pPr>
      <w:r w:rsidRPr="007B54DF">
        <w:t>Learn more about the DNA Behavior Methodology at</w:t>
      </w:r>
      <w:r w:rsidRPr="00C94FB2">
        <w:rPr>
          <w:b/>
          <w:bCs/>
        </w:rPr>
        <w:t xml:space="preserve">: </w:t>
      </w:r>
      <w:hyperlink r:id="rId30" w:history="1">
        <w:r w:rsidRPr="00C94FB2">
          <w:rPr>
            <w:rStyle w:val="Hyperlink"/>
            <w:b/>
            <w:bCs/>
            <w:lang w:val="en-US"/>
          </w:rPr>
          <w:t>www.dnabehavior/start</w:t>
        </w:r>
      </w:hyperlink>
      <w:r w:rsidRPr="00C94FB2">
        <w:rPr>
          <w:b/>
          <w:bCs/>
        </w:rPr>
        <w:t xml:space="preserve"> </w:t>
      </w:r>
    </w:p>
    <w:p w14:paraId="227E8BF7" w14:textId="77777777" w:rsidR="00E36B9C" w:rsidRDefault="00E36B9C" w:rsidP="006903BF">
      <w:pPr>
        <w:spacing w:line="240" w:lineRule="auto"/>
        <w:rPr>
          <w:b/>
          <w:bCs/>
          <w:lang w:val="en-US"/>
        </w:rPr>
      </w:pPr>
    </w:p>
    <w:p w14:paraId="403AAD20" w14:textId="26C9B056" w:rsidR="00A35BF9" w:rsidRPr="00A35BF9" w:rsidRDefault="00A35BF9" w:rsidP="006903BF">
      <w:pPr>
        <w:spacing w:line="240" w:lineRule="auto"/>
        <w:rPr>
          <w:b/>
          <w:bCs/>
          <w:lang w:val="en-US"/>
        </w:rPr>
      </w:pPr>
      <w:r w:rsidRPr="00A35BF9">
        <w:rPr>
          <w:b/>
          <w:bCs/>
          <w:lang w:val="en-US"/>
        </w:rPr>
        <w:t>Contact</w:t>
      </w:r>
    </w:p>
    <w:p w14:paraId="75BFD512" w14:textId="46CB1247" w:rsidR="00691661" w:rsidRPr="00A35BF9" w:rsidRDefault="00A35BF9" w:rsidP="006903BF">
      <w:pPr>
        <w:spacing w:line="240" w:lineRule="auto"/>
        <w:rPr>
          <w:lang w:val="en-US"/>
        </w:rPr>
      </w:pPr>
      <w:r w:rsidRPr="00A35BF9">
        <w:rPr>
          <w:b/>
          <w:bCs/>
          <w:lang w:val="en-US"/>
        </w:rPr>
        <w:t>Hugh Massie</w:t>
      </w:r>
      <w:r w:rsidRPr="00A35BF9">
        <w:rPr>
          <w:lang w:val="en-US"/>
        </w:rPr>
        <w:br/>
      </w:r>
      <w:r w:rsidR="00D806BD">
        <w:rPr>
          <w:lang w:val="en-US"/>
        </w:rPr>
        <w:t>Founder</w:t>
      </w:r>
      <w:r w:rsidR="00487569">
        <w:rPr>
          <w:lang w:val="en-US"/>
        </w:rPr>
        <w:t xml:space="preserve"> – Behavioral AI Solutions Architect</w:t>
      </w:r>
      <w:r w:rsidRPr="00A35BF9">
        <w:rPr>
          <w:lang w:val="en-US"/>
        </w:rPr>
        <w:br/>
      </w:r>
      <w:r w:rsidRPr="00A35BF9">
        <w:rPr>
          <w:rFonts w:ascii="Segoe UI Emoji" w:hAnsi="Segoe UI Emoji" w:cs="Segoe UI Emoji"/>
          <w:lang w:val="en-US"/>
        </w:rPr>
        <w:t>📧</w:t>
      </w:r>
      <w:r w:rsidRPr="00A35BF9">
        <w:rPr>
          <w:lang w:val="en-US"/>
        </w:rPr>
        <w:t xml:space="preserve"> hugh.massie@dnabehavior.com</w:t>
      </w:r>
      <w:r w:rsidRPr="00A35BF9">
        <w:rPr>
          <w:lang w:val="en-US"/>
        </w:rPr>
        <w:br/>
      </w:r>
      <w:r w:rsidRPr="00A35BF9">
        <w:rPr>
          <w:rFonts w:ascii="Segoe UI Emoji" w:hAnsi="Segoe UI Emoji" w:cs="Segoe UI Emoji"/>
          <w:lang w:val="en-US"/>
        </w:rPr>
        <w:t>🌐</w:t>
      </w:r>
      <w:r w:rsidRPr="00A35BF9">
        <w:rPr>
          <w:lang w:val="en-US"/>
        </w:rPr>
        <w:t xml:space="preserve"> </w:t>
      </w:r>
      <w:hyperlink r:id="rId31" w:tgtFrame="_new" w:history="1">
        <w:r w:rsidRPr="00A35BF9">
          <w:rPr>
            <w:rStyle w:val="Hyperlink"/>
            <w:lang w:val="en-US"/>
          </w:rPr>
          <w:t>www.dnabehavior.com</w:t>
        </w:r>
      </w:hyperlink>
    </w:p>
    <w:sectPr w:rsidR="00691661" w:rsidRPr="00A35BF9" w:rsidSect="007149AB">
      <w:footerReference w:type="default" r:id="rId32"/>
      <w:headerReference w:type="first" r:id="rId33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0147F" w14:textId="77777777" w:rsidR="00142930" w:rsidRPr="00C2399E" w:rsidRDefault="00142930" w:rsidP="00A846D7">
      <w:pPr>
        <w:spacing w:after="0" w:line="240" w:lineRule="auto"/>
      </w:pPr>
      <w:r w:rsidRPr="00C2399E">
        <w:separator/>
      </w:r>
    </w:p>
  </w:endnote>
  <w:endnote w:type="continuationSeparator" w:id="0">
    <w:p w14:paraId="304E4B99" w14:textId="77777777" w:rsidR="00142930" w:rsidRPr="00C2399E" w:rsidRDefault="00142930" w:rsidP="00A846D7">
      <w:pPr>
        <w:spacing w:after="0" w:line="240" w:lineRule="auto"/>
      </w:pPr>
      <w:r w:rsidRPr="00C239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4919246"/>
      <w:docPartObj>
        <w:docPartGallery w:val="Page Numbers (Bottom of Page)"/>
        <w:docPartUnique/>
      </w:docPartObj>
    </w:sdtPr>
    <w:sdtContent>
      <w:p w14:paraId="54489293" w14:textId="62EA713A" w:rsidR="00A846D7" w:rsidRPr="00C2399E" w:rsidRDefault="00A846D7">
        <w:pPr>
          <w:pStyle w:val="Footer"/>
          <w:jc w:val="right"/>
        </w:pPr>
        <w:r w:rsidRPr="00C2399E">
          <w:fldChar w:fldCharType="begin"/>
        </w:r>
        <w:r w:rsidRPr="00C2399E">
          <w:instrText xml:space="preserve"> PAGE   \* MERGEFORMAT </w:instrText>
        </w:r>
        <w:r w:rsidRPr="00C2399E">
          <w:fldChar w:fldCharType="separate"/>
        </w:r>
        <w:r w:rsidRPr="00C2399E">
          <w:t>2</w:t>
        </w:r>
        <w:r w:rsidRPr="00C2399E">
          <w:fldChar w:fldCharType="end"/>
        </w:r>
      </w:p>
    </w:sdtContent>
  </w:sdt>
  <w:p w14:paraId="04666D38" w14:textId="77777777" w:rsidR="00A846D7" w:rsidRPr="00C2399E" w:rsidRDefault="00A84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B106" w14:textId="77777777" w:rsidR="00142930" w:rsidRPr="00C2399E" w:rsidRDefault="00142930" w:rsidP="00A846D7">
      <w:pPr>
        <w:spacing w:after="0" w:line="240" w:lineRule="auto"/>
      </w:pPr>
      <w:r w:rsidRPr="00C2399E">
        <w:separator/>
      </w:r>
    </w:p>
  </w:footnote>
  <w:footnote w:type="continuationSeparator" w:id="0">
    <w:p w14:paraId="44116A9E" w14:textId="77777777" w:rsidR="00142930" w:rsidRPr="00C2399E" w:rsidRDefault="00142930" w:rsidP="00A846D7">
      <w:pPr>
        <w:spacing w:after="0" w:line="240" w:lineRule="auto"/>
      </w:pPr>
      <w:r w:rsidRPr="00C239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A5CE" w14:textId="77777777" w:rsidR="00102412" w:rsidRPr="00C2399E" w:rsidRDefault="00102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2B4B"/>
    <w:multiLevelType w:val="multilevel"/>
    <w:tmpl w:val="2058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25564"/>
    <w:multiLevelType w:val="multilevel"/>
    <w:tmpl w:val="5102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561A8"/>
    <w:multiLevelType w:val="multilevel"/>
    <w:tmpl w:val="5DBC6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E0155"/>
    <w:multiLevelType w:val="multilevel"/>
    <w:tmpl w:val="7ACA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D2C7C"/>
    <w:multiLevelType w:val="multilevel"/>
    <w:tmpl w:val="8DFE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B76AF"/>
    <w:multiLevelType w:val="multilevel"/>
    <w:tmpl w:val="BC768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D4E8D"/>
    <w:multiLevelType w:val="multilevel"/>
    <w:tmpl w:val="82021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F17FD"/>
    <w:multiLevelType w:val="multilevel"/>
    <w:tmpl w:val="D46A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C6837"/>
    <w:multiLevelType w:val="multilevel"/>
    <w:tmpl w:val="B3F4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A5069"/>
    <w:multiLevelType w:val="multilevel"/>
    <w:tmpl w:val="04C072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77757"/>
    <w:multiLevelType w:val="multilevel"/>
    <w:tmpl w:val="30C0B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D649DE"/>
    <w:multiLevelType w:val="multilevel"/>
    <w:tmpl w:val="19A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6170FD"/>
    <w:multiLevelType w:val="multilevel"/>
    <w:tmpl w:val="B7D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73384"/>
    <w:multiLevelType w:val="multilevel"/>
    <w:tmpl w:val="2E96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F73664"/>
    <w:multiLevelType w:val="hybridMultilevel"/>
    <w:tmpl w:val="CF64E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E4BD5"/>
    <w:multiLevelType w:val="multilevel"/>
    <w:tmpl w:val="CDA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AF452B"/>
    <w:multiLevelType w:val="multilevel"/>
    <w:tmpl w:val="65EE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4A7D6D"/>
    <w:multiLevelType w:val="multilevel"/>
    <w:tmpl w:val="1334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A3D35"/>
    <w:multiLevelType w:val="multilevel"/>
    <w:tmpl w:val="C4AC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F5330"/>
    <w:multiLevelType w:val="multilevel"/>
    <w:tmpl w:val="3BA6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B03FC2"/>
    <w:multiLevelType w:val="multilevel"/>
    <w:tmpl w:val="5FA8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060639"/>
    <w:multiLevelType w:val="multilevel"/>
    <w:tmpl w:val="CBA63A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B6825"/>
    <w:multiLevelType w:val="multilevel"/>
    <w:tmpl w:val="2EDE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8E61BD"/>
    <w:multiLevelType w:val="multilevel"/>
    <w:tmpl w:val="CBBE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7224A"/>
    <w:multiLevelType w:val="multilevel"/>
    <w:tmpl w:val="382E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9776D8"/>
    <w:multiLevelType w:val="multilevel"/>
    <w:tmpl w:val="3C3C3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864B5D"/>
    <w:multiLevelType w:val="multilevel"/>
    <w:tmpl w:val="F0266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130E9"/>
    <w:multiLevelType w:val="multilevel"/>
    <w:tmpl w:val="5316ED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8F19FA"/>
    <w:multiLevelType w:val="multilevel"/>
    <w:tmpl w:val="8952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70DF3"/>
    <w:multiLevelType w:val="multilevel"/>
    <w:tmpl w:val="A63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7464F"/>
    <w:multiLevelType w:val="multilevel"/>
    <w:tmpl w:val="303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BD5DBA"/>
    <w:multiLevelType w:val="multilevel"/>
    <w:tmpl w:val="D44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61EA0"/>
    <w:multiLevelType w:val="multilevel"/>
    <w:tmpl w:val="2A22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017198"/>
    <w:multiLevelType w:val="hybridMultilevel"/>
    <w:tmpl w:val="2D521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C2AA6"/>
    <w:multiLevelType w:val="multilevel"/>
    <w:tmpl w:val="B644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409973">
    <w:abstractNumId w:val="15"/>
  </w:num>
  <w:num w:numId="2" w16cid:durableId="1242984746">
    <w:abstractNumId w:val="0"/>
  </w:num>
  <w:num w:numId="3" w16cid:durableId="209653808">
    <w:abstractNumId w:val="4"/>
  </w:num>
  <w:num w:numId="4" w16cid:durableId="393159493">
    <w:abstractNumId w:val="19"/>
  </w:num>
  <w:num w:numId="5" w16cid:durableId="166025409">
    <w:abstractNumId w:val="26"/>
  </w:num>
  <w:num w:numId="6" w16cid:durableId="1493526959">
    <w:abstractNumId w:val="13"/>
  </w:num>
  <w:num w:numId="7" w16cid:durableId="2054427377">
    <w:abstractNumId w:val="5"/>
  </w:num>
  <w:num w:numId="8" w16cid:durableId="79105118">
    <w:abstractNumId w:val="29"/>
  </w:num>
  <w:num w:numId="9" w16cid:durableId="1583029669">
    <w:abstractNumId w:val="2"/>
  </w:num>
  <w:num w:numId="10" w16cid:durableId="1460806733">
    <w:abstractNumId w:val="10"/>
  </w:num>
  <w:num w:numId="11" w16cid:durableId="950431089">
    <w:abstractNumId w:val="28"/>
  </w:num>
  <w:num w:numId="12" w16cid:durableId="661157832">
    <w:abstractNumId w:val="25"/>
  </w:num>
  <w:num w:numId="13" w16cid:durableId="123084145">
    <w:abstractNumId w:val="32"/>
  </w:num>
  <w:num w:numId="14" w16cid:durableId="223150288">
    <w:abstractNumId w:val="9"/>
  </w:num>
  <w:num w:numId="15" w16cid:durableId="1228954118">
    <w:abstractNumId w:val="24"/>
  </w:num>
  <w:num w:numId="16" w16cid:durableId="1930309252">
    <w:abstractNumId w:val="27"/>
  </w:num>
  <w:num w:numId="17" w16cid:durableId="1577671083">
    <w:abstractNumId w:val="21"/>
  </w:num>
  <w:num w:numId="18" w16cid:durableId="811362988">
    <w:abstractNumId w:val="20"/>
  </w:num>
  <w:num w:numId="19" w16cid:durableId="643201278">
    <w:abstractNumId w:val="6"/>
  </w:num>
  <w:num w:numId="20" w16cid:durableId="339816975">
    <w:abstractNumId w:val="34"/>
  </w:num>
  <w:num w:numId="21" w16cid:durableId="213153162">
    <w:abstractNumId w:val="17"/>
  </w:num>
  <w:num w:numId="22" w16cid:durableId="130444597">
    <w:abstractNumId w:val="31"/>
  </w:num>
  <w:num w:numId="23" w16cid:durableId="873616205">
    <w:abstractNumId w:val="18"/>
  </w:num>
  <w:num w:numId="24" w16cid:durableId="831410048">
    <w:abstractNumId w:val="14"/>
  </w:num>
  <w:num w:numId="25" w16cid:durableId="1206331203">
    <w:abstractNumId w:val="33"/>
  </w:num>
  <w:num w:numId="26" w16cid:durableId="1896697843">
    <w:abstractNumId w:val="1"/>
  </w:num>
  <w:num w:numId="27" w16cid:durableId="1135100936">
    <w:abstractNumId w:val="11"/>
  </w:num>
  <w:num w:numId="28" w16cid:durableId="432825710">
    <w:abstractNumId w:val="7"/>
  </w:num>
  <w:num w:numId="29" w16cid:durableId="1654601399">
    <w:abstractNumId w:val="30"/>
  </w:num>
  <w:num w:numId="30" w16cid:durableId="664212839">
    <w:abstractNumId w:val="22"/>
  </w:num>
  <w:num w:numId="31" w16cid:durableId="719596493">
    <w:abstractNumId w:val="12"/>
  </w:num>
  <w:num w:numId="32" w16cid:durableId="83646742">
    <w:abstractNumId w:val="3"/>
  </w:num>
  <w:num w:numId="33" w16cid:durableId="1690178746">
    <w:abstractNumId w:val="16"/>
  </w:num>
  <w:num w:numId="34" w16cid:durableId="1325007076">
    <w:abstractNumId w:val="23"/>
  </w:num>
  <w:num w:numId="35" w16cid:durableId="198550705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0NjE2tTQ0tjQzMTdV0lEKTi0uzszPAykwM6sFAIpwtrItAAAA"/>
  </w:docVars>
  <w:rsids>
    <w:rsidRoot w:val="000117AA"/>
    <w:rsid w:val="000001D2"/>
    <w:rsid w:val="00002455"/>
    <w:rsid w:val="00002B2B"/>
    <w:rsid w:val="00004289"/>
    <w:rsid w:val="00006E9F"/>
    <w:rsid w:val="00006F07"/>
    <w:rsid w:val="0000722B"/>
    <w:rsid w:val="0000764A"/>
    <w:rsid w:val="000117AA"/>
    <w:rsid w:val="00013414"/>
    <w:rsid w:val="0001422A"/>
    <w:rsid w:val="00014B9F"/>
    <w:rsid w:val="0001558A"/>
    <w:rsid w:val="000158E5"/>
    <w:rsid w:val="00015FE4"/>
    <w:rsid w:val="00016257"/>
    <w:rsid w:val="00020E16"/>
    <w:rsid w:val="0002114F"/>
    <w:rsid w:val="000213E2"/>
    <w:rsid w:val="00022003"/>
    <w:rsid w:val="0002254B"/>
    <w:rsid w:val="000230A3"/>
    <w:rsid w:val="00023958"/>
    <w:rsid w:val="00024BB0"/>
    <w:rsid w:val="000269EE"/>
    <w:rsid w:val="00026B69"/>
    <w:rsid w:val="00027FB3"/>
    <w:rsid w:val="00030652"/>
    <w:rsid w:val="00030A5D"/>
    <w:rsid w:val="00031684"/>
    <w:rsid w:val="0003184D"/>
    <w:rsid w:val="000327B9"/>
    <w:rsid w:val="00032D80"/>
    <w:rsid w:val="000334D4"/>
    <w:rsid w:val="00035D1B"/>
    <w:rsid w:val="0003667C"/>
    <w:rsid w:val="00042C9C"/>
    <w:rsid w:val="00042E40"/>
    <w:rsid w:val="000433E6"/>
    <w:rsid w:val="000436DE"/>
    <w:rsid w:val="0004430D"/>
    <w:rsid w:val="00044D69"/>
    <w:rsid w:val="000476B7"/>
    <w:rsid w:val="00047A4A"/>
    <w:rsid w:val="00047AD3"/>
    <w:rsid w:val="000505D3"/>
    <w:rsid w:val="0005154B"/>
    <w:rsid w:val="000521B1"/>
    <w:rsid w:val="00054635"/>
    <w:rsid w:val="00055191"/>
    <w:rsid w:val="00055DE6"/>
    <w:rsid w:val="00057477"/>
    <w:rsid w:val="00057693"/>
    <w:rsid w:val="0005784D"/>
    <w:rsid w:val="00057F3C"/>
    <w:rsid w:val="00063AD9"/>
    <w:rsid w:val="00063F19"/>
    <w:rsid w:val="0006491B"/>
    <w:rsid w:val="00064D37"/>
    <w:rsid w:val="00067628"/>
    <w:rsid w:val="000721B3"/>
    <w:rsid w:val="0007267A"/>
    <w:rsid w:val="00072D60"/>
    <w:rsid w:val="00073602"/>
    <w:rsid w:val="000754D9"/>
    <w:rsid w:val="0007551D"/>
    <w:rsid w:val="000757E8"/>
    <w:rsid w:val="0007598B"/>
    <w:rsid w:val="00075CFF"/>
    <w:rsid w:val="0007630E"/>
    <w:rsid w:val="00077401"/>
    <w:rsid w:val="00077531"/>
    <w:rsid w:val="00081316"/>
    <w:rsid w:val="0008175E"/>
    <w:rsid w:val="000832CC"/>
    <w:rsid w:val="0008346C"/>
    <w:rsid w:val="00085D12"/>
    <w:rsid w:val="00086345"/>
    <w:rsid w:val="00086723"/>
    <w:rsid w:val="00086BFC"/>
    <w:rsid w:val="00090990"/>
    <w:rsid w:val="000910B4"/>
    <w:rsid w:val="000923E1"/>
    <w:rsid w:val="000926B7"/>
    <w:rsid w:val="000930E1"/>
    <w:rsid w:val="00094314"/>
    <w:rsid w:val="000952D8"/>
    <w:rsid w:val="00097169"/>
    <w:rsid w:val="000A08B3"/>
    <w:rsid w:val="000A1C65"/>
    <w:rsid w:val="000A3444"/>
    <w:rsid w:val="000A412F"/>
    <w:rsid w:val="000A5C41"/>
    <w:rsid w:val="000A6D03"/>
    <w:rsid w:val="000A7F52"/>
    <w:rsid w:val="000B1401"/>
    <w:rsid w:val="000B465A"/>
    <w:rsid w:val="000B67D0"/>
    <w:rsid w:val="000B7ADF"/>
    <w:rsid w:val="000B7CDC"/>
    <w:rsid w:val="000C26C3"/>
    <w:rsid w:val="000C3D22"/>
    <w:rsid w:val="000C6B1A"/>
    <w:rsid w:val="000C7121"/>
    <w:rsid w:val="000D5156"/>
    <w:rsid w:val="000D5CA6"/>
    <w:rsid w:val="000D60AD"/>
    <w:rsid w:val="000D63F0"/>
    <w:rsid w:val="000D6DCE"/>
    <w:rsid w:val="000D6EC3"/>
    <w:rsid w:val="000D738E"/>
    <w:rsid w:val="000D7846"/>
    <w:rsid w:val="000E0487"/>
    <w:rsid w:val="000E0EDA"/>
    <w:rsid w:val="000E1A4F"/>
    <w:rsid w:val="000E3EDD"/>
    <w:rsid w:val="000E4766"/>
    <w:rsid w:val="000E50A2"/>
    <w:rsid w:val="000E6605"/>
    <w:rsid w:val="000E6784"/>
    <w:rsid w:val="000F10EE"/>
    <w:rsid w:val="000F1EEF"/>
    <w:rsid w:val="000F231C"/>
    <w:rsid w:val="000F38FD"/>
    <w:rsid w:val="000F3D0E"/>
    <w:rsid w:val="000F5CC9"/>
    <w:rsid w:val="000F6235"/>
    <w:rsid w:val="000F6E3E"/>
    <w:rsid w:val="001002B4"/>
    <w:rsid w:val="00100CFE"/>
    <w:rsid w:val="00102412"/>
    <w:rsid w:val="001054F2"/>
    <w:rsid w:val="00105782"/>
    <w:rsid w:val="00105A6A"/>
    <w:rsid w:val="00105C60"/>
    <w:rsid w:val="00106319"/>
    <w:rsid w:val="0010724F"/>
    <w:rsid w:val="0010779D"/>
    <w:rsid w:val="00110C0C"/>
    <w:rsid w:val="00112455"/>
    <w:rsid w:val="00113717"/>
    <w:rsid w:val="00115611"/>
    <w:rsid w:val="001157CB"/>
    <w:rsid w:val="00115A35"/>
    <w:rsid w:val="0011606E"/>
    <w:rsid w:val="001218FF"/>
    <w:rsid w:val="00121B98"/>
    <w:rsid w:val="00122354"/>
    <w:rsid w:val="00123019"/>
    <w:rsid w:val="00123B93"/>
    <w:rsid w:val="00127F55"/>
    <w:rsid w:val="001307BD"/>
    <w:rsid w:val="00132A51"/>
    <w:rsid w:val="0013355A"/>
    <w:rsid w:val="00134905"/>
    <w:rsid w:val="00134DED"/>
    <w:rsid w:val="001351DF"/>
    <w:rsid w:val="00136F55"/>
    <w:rsid w:val="00137827"/>
    <w:rsid w:val="00140393"/>
    <w:rsid w:val="001405F3"/>
    <w:rsid w:val="00142930"/>
    <w:rsid w:val="0014301B"/>
    <w:rsid w:val="00143A04"/>
    <w:rsid w:val="00145765"/>
    <w:rsid w:val="001469E5"/>
    <w:rsid w:val="001475BC"/>
    <w:rsid w:val="001477AF"/>
    <w:rsid w:val="001506E2"/>
    <w:rsid w:val="0015390C"/>
    <w:rsid w:val="00155795"/>
    <w:rsid w:val="00157248"/>
    <w:rsid w:val="00160D07"/>
    <w:rsid w:val="00160F3A"/>
    <w:rsid w:val="00162C6C"/>
    <w:rsid w:val="0016362E"/>
    <w:rsid w:val="001636E8"/>
    <w:rsid w:val="00164526"/>
    <w:rsid w:val="00165A38"/>
    <w:rsid w:val="00165BE9"/>
    <w:rsid w:val="00167361"/>
    <w:rsid w:val="001705F8"/>
    <w:rsid w:val="0017112B"/>
    <w:rsid w:val="0017161A"/>
    <w:rsid w:val="00171ACD"/>
    <w:rsid w:val="0017355C"/>
    <w:rsid w:val="001735BE"/>
    <w:rsid w:val="001748FD"/>
    <w:rsid w:val="001756DE"/>
    <w:rsid w:val="00177B94"/>
    <w:rsid w:val="001807A2"/>
    <w:rsid w:val="00180A6A"/>
    <w:rsid w:val="001815FA"/>
    <w:rsid w:val="001817BD"/>
    <w:rsid w:val="00183677"/>
    <w:rsid w:val="0018386F"/>
    <w:rsid w:val="001846EF"/>
    <w:rsid w:val="00184D04"/>
    <w:rsid w:val="00184E0D"/>
    <w:rsid w:val="00185F72"/>
    <w:rsid w:val="001874C2"/>
    <w:rsid w:val="00187B2D"/>
    <w:rsid w:val="00187EA8"/>
    <w:rsid w:val="00190A06"/>
    <w:rsid w:val="00190BC5"/>
    <w:rsid w:val="001932DE"/>
    <w:rsid w:val="001946A9"/>
    <w:rsid w:val="001948AB"/>
    <w:rsid w:val="0019495D"/>
    <w:rsid w:val="00194C2A"/>
    <w:rsid w:val="00195D34"/>
    <w:rsid w:val="0019734C"/>
    <w:rsid w:val="001A0DBF"/>
    <w:rsid w:val="001A158F"/>
    <w:rsid w:val="001A15A6"/>
    <w:rsid w:val="001A1FAF"/>
    <w:rsid w:val="001A2876"/>
    <w:rsid w:val="001A2DA5"/>
    <w:rsid w:val="001A30C2"/>
    <w:rsid w:val="001A333F"/>
    <w:rsid w:val="001A442C"/>
    <w:rsid w:val="001A5391"/>
    <w:rsid w:val="001A55A5"/>
    <w:rsid w:val="001A565E"/>
    <w:rsid w:val="001A5ABB"/>
    <w:rsid w:val="001A709D"/>
    <w:rsid w:val="001A7151"/>
    <w:rsid w:val="001A71A8"/>
    <w:rsid w:val="001B05EA"/>
    <w:rsid w:val="001B0985"/>
    <w:rsid w:val="001B102D"/>
    <w:rsid w:val="001B1382"/>
    <w:rsid w:val="001B2AA9"/>
    <w:rsid w:val="001B2D9B"/>
    <w:rsid w:val="001B4323"/>
    <w:rsid w:val="001B5143"/>
    <w:rsid w:val="001B517C"/>
    <w:rsid w:val="001B5B9C"/>
    <w:rsid w:val="001B5E9E"/>
    <w:rsid w:val="001B6FA5"/>
    <w:rsid w:val="001C03EF"/>
    <w:rsid w:val="001C163D"/>
    <w:rsid w:val="001C3B3D"/>
    <w:rsid w:val="001C40F6"/>
    <w:rsid w:val="001C47E5"/>
    <w:rsid w:val="001C5ED3"/>
    <w:rsid w:val="001D4E2D"/>
    <w:rsid w:val="001D50C1"/>
    <w:rsid w:val="001D5D0C"/>
    <w:rsid w:val="001D72A6"/>
    <w:rsid w:val="001D7CC2"/>
    <w:rsid w:val="001D7F5F"/>
    <w:rsid w:val="001E10D7"/>
    <w:rsid w:val="001E1F49"/>
    <w:rsid w:val="001E3E3D"/>
    <w:rsid w:val="001E401D"/>
    <w:rsid w:val="001E40F0"/>
    <w:rsid w:val="001E53E7"/>
    <w:rsid w:val="001E59D1"/>
    <w:rsid w:val="001E6762"/>
    <w:rsid w:val="001E6801"/>
    <w:rsid w:val="001E6F90"/>
    <w:rsid w:val="001E7363"/>
    <w:rsid w:val="001F08CD"/>
    <w:rsid w:val="001F0CFF"/>
    <w:rsid w:val="001F16C1"/>
    <w:rsid w:val="001F2CE1"/>
    <w:rsid w:val="001F2F44"/>
    <w:rsid w:val="001F30AF"/>
    <w:rsid w:val="001F4535"/>
    <w:rsid w:val="001F5CA7"/>
    <w:rsid w:val="001F657F"/>
    <w:rsid w:val="002000DB"/>
    <w:rsid w:val="00200A10"/>
    <w:rsid w:val="00201C35"/>
    <w:rsid w:val="00201C7D"/>
    <w:rsid w:val="00202379"/>
    <w:rsid w:val="002026BC"/>
    <w:rsid w:val="00203983"/>
    <w:rsid w:val="00204B2D"/>
    <w:rsid w:val="002061EF"/>
    <w:rsid w:val="0020691A"/>
    <w:rsid w:val="002069C0"/>
    <w:rsid w:val="00207725"/>
    <w:rsid w:val="00207B26"/>
    <w:rsid w:val="002102CB"/>
    <w:rsid w:val="00210F26"/>
    <w:rsid w:val="002124D5"/>
    <w:rsid w:val="002149B4"/>
    <w:rsid w:val="00214CAC"/>
    <w:rsid w:val="002200BE"/>
    <w:rsid w:val="00221583"/>
    <w:rsid w:val="00223924"/>
    <w:rsid w:val="00223E3C"/>
    <w:rsid w:val="00223F0E"/>
    <w:rsid w:val="002256F6"/>
    <w:rsid w:val="00225C17"/>
    <w:rsid w:val="00225D0F"/>
    <w:rsid w:val="00226AA5"/>
    <w:rsid w:val="00232015"/>
    <w:rsid w:val="00232692"/>
    <w:rsid w:val="00233913"/>
    <w:rsid w:val="00235D5B"/>
    <w:rsid w:val="00236FE1"/>
    <w:rsid w:val="00237972"/>
    <w:rsid w:val="00237FA5"/>
    <w:rsid w:val="002404B5"/>
    <w:rsid w:val="00240AFC"/>
    <w:rsid w:val="00240D33"/>
    <w:rsid w:val="0024412E"/>
    <w:rsid w:val="00246637"/>
    <w:rsid w:val="00251509"/>
    <w:rsid w:val="002517EF"/>
    <w:rsid w:val="00253D48"/>
    <w:rsid w:val="00253D83"/>
    <w:rsid w:val="00254639"/>
    <w:rsid w:val="00255373"/>
    <w:rsid w:val="00257D01"/>
    <w:rsid w:val="0026205A"/>
    <w:rsid w:val="0026325F"/>
    <w:rsid w:val="00264AA9"/>
    <w:rsid w:val="00264CE6"/>
    <w:rsid w:val="00265BC0"/>
    <w:rsid w:val="0026620B"/>
    <w:rsid w:val="00266239"/>
    <w:rsid w:val="00266601"/>
    <w:rsid w:val="00266ABC"/>
    <w:rsid w:val="002700C7"/>
    <w:rsid w:val="0027089C"/>
    <w:rsid w:val="00271916"/>
    <w:rsid w:val="0027206A"/>
    <w:rsid w:val="00275A9C"/>
    <w:rsid w:val="002762C8"/>
    <w:rsid w:val="0028093B"/>
    <w:rsid w:val="002814C1"/>
    <w:rsid w:val="00282FA4"/>
    <w:rsid w:val="00284259"/>
    <w:rsid w:val="00286B74"/>
    <w:rsid w:val="00290776"/>
    <w:rsid w:val="002938D3"/>
    <w:rsid w:val="00294F4F"/>
    <w:rsid w:val="002952D4"/>
    <w:rsid w:val="002957E2"/>
    <w:rsid w:val="00295885"/>
    <w:rsid w:val="00295943"/>
    <w:rsid w:val="00296C3E"/>
    <w:rsid w:val="002A4145"/>
    <w:rsid w:val="002A41CB"/>
    <w:rsid w:val="002A50B8"/>
    <w:rsid w:val="002A55DB"/>
    <w:rsid w:val="002A56FC"/>
    <w:rsid w:val="002A5C3E"/>
    <w:rsid w:val="002A5F03"/>
    <w:rsid w:val="002A6F8F"/>
    <w:rsid w:val="002A7609"/>
    <w:rsid w:val="002B124B"/>
    <w:rsid w:val="002B151C"/>
    <w:rsid w:val="002B46EE"/>
    <w:rsid w:val="002B4797"/>
    <w:rsid w:val="002B5346"/>
    <w:rsid w:val="002B67BF"/>
    <w:rsid w:val="002B7509"/>
    <w:rsid w:val="002C00DA"/>
    <w:rsid w:val="002C0F7C"/>
    <w:rsid w:val="002C141A"/>
    <w:rsid w:val="002C1AEE"/>
    <w:rsid w:val="002C3D15"/>
    <w:rsid w:val="002C664A"/>
    <w:rsid w:val="002D056B"/>
    <w:rsid w:val="002D064B"/>
    <w:rsid w:val="002D2580"/>
    <w:rsid w:val="002D2C1F"/>
    <w:rsid w:val="002D2D91"/>
    <w:rsid w:val="002D35B0"/>
    <w:rsid w:val="002D46C0"/>
    <w:rsid w:val="002D5105"/>
    <w:rsid w:val="002D5B5A"/>
    <w:rsid w:val="002D5F01"/>
    <w:rsid w:val="002D6807"/>
    <w:rsid w:val="002D7699"/>
    <w:rsid w:val="002E0F0B"/>
    <w:rsid w:val="002E2221"/>
    <w:rsid w:val="002E35A2"/>
    <w:rsid w:val="002E3A2C"/>
    <w:rsid w:val="002E4126"/>
    <w:rsid w:val="002E59E6"/>
    <w:rsid w:val="002E6587"/>
    <w:rsid w:val="002E72CC"/>
    <w:rsid w:val="002F08E7"/>
    <w:rsid w:val="002F0CED"/>
    <w:rsid w:val="002F0F45"/>
    <w:rsid w:val="002F14FE"/>
    <w:rsid w:val="002F2ECA"/>
    <w:rsid w:val="002F3060"/>
    <w:rsid w:val="002F50B1"/>
    <w:rsid w:val="002F63A8"/>
    <w:rsid w:val="002F73C7"/>
    <w:rsid w:val="002F7C0A"/>
    <w:rsid w:val="003013CF"/>
    <w:rsid w:val="00301E67"/>
    <w:rsid w:val="003029A0"/>
    <w:rsid w:val="0030328F"/>
    <w:rsid w:val="0030407E"/>
    <w:rsid w:val="00304F92"/>
    <w:rsid w:val="00305714"/>
    <w:rsid w:val="00306229"/>
    <w:rsid w:val="003079A5"/>
    <w:rsid w:val="00310160"/>
    <w:rsid w:val="00310349"/>
    <w:rsid w:val="003110ED"/>
    <w:rsid w:val="0031148F"/>
    <w:rsid w:val="00311835"/>
    <w:rsid w:val="00313673"/>
    <w:rsid w:val="00315722"/>
    <w:rsid w:val="0031628A"/>
    <w:rsid w:val="00316BF9"/>
    <w:rsid w:val="003205F3"/>
    <w:rsid w:val="00320713"/>
    <w:rsid w:val="003217CA"/>
    <w:rsid w:val="00321E6D"/>
    <w:rsid w:val="00322214"/>
    <w:rsid w:val="003231A6"/>
    <w:rsid w:val="00323C81"/>
    <w:rsid w:val="0032587C"/>
    <w:rsid w:val="0033103B"/>
    <w:rsid w:val="0033124E"/>
    <w:rsid w:val="003314C5"/>
    <w:rsid w:val="0033151C"/>
    <w:rsid w:val="00331A41"/>
    <w:rsid w:val="00332884"/>
    <w:rsid w:val="00333517"/>
    <w:rsid w:val="0033391B"/>
    <w:rsid w:val="003343F8"/>
    <w:rsid w:val="00334779"/>
    <w:rsid w:val="00334E40"/>
    <w:rsid w:val="0034631D"/>
    <w:rsid w:val="00346671"/>
    <w:rsid w:val="00346D34"/>
    <w:rsid w:val="003509A8"/>
    <w:rsid w:val="00350A49"/>
    <w:rsid w:val="00353126"/>
    <w:rsid w:val="00353AEF"/>
    <w:rsid w:val="0035408E"/>
    <w:rsid w:val="00355400"/>
    <w:rsid w:val="003555B2"/>
    <w:rsid w:val="00355BB8"/>
    <w:rsid w:val="00356364"/>
    <w:rsid w:val="0036287B"/>
    <w:rsid w:val="00363296"/>
    <w:rsid w:val="00363A6C"/>
    <w:rsid w:val="003645BA"/>
    <w:rsid w:val="00366547"/>
    <w:rsid w:val="00370369"/>
    <w:rsid w:val="00372A9F"/>
    <w:rsid w:val="003736CB"/>
    <w:rsid w:val="00373AFB"/>
    <w:rsid w:val="00373F91"/>
    <w:rsid w:val="00375139"/>
    <w:rsid w:val="00375D13"/>
    <w:rsid w:val="00376CF1"/>
    <w:rsid w:val="003800D7"/>
    <w:rsid w:val="00380E23"/>
    <w:rsid w:val="003812DC"/>
    <w:rsid w:val="00383367"/>
    <w:rsid w:val="00383DDD"/>
    <w:rsid w:val="00387B27"/>
    <w:rsid w:val="00391376"/>
    <w:rsid w:val="00391634"/>
    <w:rsid w:val="00391F7C"/>
    <w:rsid w:val="003928F6"/>
    <w:rsid w:val="00393E85"/>
    <w:rsid w:val="00394E4D"/>
    <w:rsid w:val="00394EFF"/>
    <w:rsid w:val="0039543B"/>
    <w:rsid w:val="0039567D"/>
    <w:rsid w:val="00395693"/>
    <w:rsid w:val="003960CF"/>
    <w:rsid w:val="003967C6"/>
    <w:rsid w:val="003A16F2"/>
    <w:rsid w:val="003A1943"/>
    <w:rsid w:val="003A1B23"/>
    <w:rsid w:val="003A2BA7"/>
    <w:rsid w:val="003A33F3"/>
    <w:rsid w:val="003A4692"/>
    <w:rsid w:val="003B0918"/>
    <w:rsid w:val="003B162B"/>
    <w:rsid w:val="003B44C0"/>
    <w:rsid w:val="003B483C"/>
    <w:rsid w:val="003B58F7"/>
    <w:rsid w:val="003B6BBD"/>
    <w:rsid w:val="003B7342"/>
    <w:rsid w:val="003B7858"/>
    <w:rsid w:val="003C0902"/>
    <w:rsid w:val="003C256B"/>
    <w:rsid w:val="003C2AE4"/>
    <w:rsid w:val="003C4E18"/>
    <w:rsid w:val="003C657F"/>
    <w:rsid w:val="003C6B64"/>
    <w:rsid w:val="003C6D79"/>
    <w:rsid w:val="003C71FA"/>
    <w:rsid w:val="003D0A48"/>
    <w:rsid w:val="003D0E5F"/>
    <w:rsid w:val="003D1EAC"/>
    <w:rsid w:val="003D2145"/>
    <w:rsid w:val="003D2F0B"/>
    <w:rsid w:val="003D43C6"/>
    <w:rsid w:val="003D506E"/>
    <w:rsid w:val="003D5F36"/>
    <w:rsid w:val="003D7E0B"/>
    <w:rsid w:val="003D7EFD"/>
    <w:rsid w:val="003E1489"/>
    <w:rsid w:val="003E17CD"/>
    <w:rsid w:val="003E1817"/>
    <w:rsid w:val="003E386E"/>
    <w:rsid w:val="003E3F06"/>
    <w:rsid w:val="003E567A"/>
    <w:rsid w:val="003E5FE2"/>
    <w:rsid w:val="003E7BDF"/>
    <w:rsid w:val="003F1ADA"/>
    <w:rsid w:val="003F1DDF"/>
    <w:rsid w:val="003F1FF3"/>
    <w:rsid w:val="003F2E02"/>
    <w:rsid w:val="003F446B"/>
    <w:rsid w:val="003F61C9"/>
    <w:rsid w:val="003F6F30"/>
    <w:rsid w:val="003F701F"/>
    <w:rsid w:val="004004F7"/>
    <w:rsid w:val="00400E6B"/>
    <w:rsid w:val="00400E81"/>
    <w:rsid w:val="004021D4"/>
    <w:rsid w:val="004029E3"/>
    <w:rsid w:val="00404AB6"/>
    <w:rsid w:val="00404B1A"/>
    <w:rsid w:val="00405DF0"/>
    <w:rsid w:val="00406EAD"/>
    <w:rsid w:val="00407E96"/>
    <w:rsid w:val="004124AD"/>
    <w:rsid w:val="00413C69"/>
    <w:rsid w:val="00415161"/>
    <w:rsid w:val="00421174"/>
    <w:rsid w:val="004211B7"/>
    <w:rsid w:val="00421437"/>
    <w:rsid w:val="0042307A"/>
    <w:rsid w:val="004250DD"/>
    <w:rsid w:val="00425944"/>
    <w:rsid w:val="00425AF1"/>
    <w:rsid w:val="00426A7B"/>
    <w:rsid w:val="0043050F"/>
    <w:rsid w:val="00430A87"/>
    <w:rsid w:val="00431947"/>
    <w:rsid w:val="00433877"/>
    <w:rsid w:val="00433EF7"/>
    <w:rsid w:val="00434B04"/>
    <w:rsid w:val="00434EFA"/>
    <w:rsid w:val="00435229"/>
    <w:rsid w:val="00437FF8"/>
    <w:rsid w:val="00441A38"/>
    <w:rsid w:val="0044469C"/>
    <w:rsid w:val="004452AA"/>
    <w:rsid w:val="0044712B"/>
    <w:rsid w:val="004523E9"/>
    <w:rsid w:val="00453ABD"/>
    <w:rsid w:val="0045429B"/>
    <w:rsid w:val="004545FC"/>
    <w:rsid w:val="00454A8E"/>
    <w:rsid w:val="00454F25"/>
    <w:rsid w:val="00455292"/>
    <w:rsid w:val="004553C8"/>
    <w:rsid w:val="00455A08"/>
    <w:rsid w:val="00457ED4"/>
    <w:rsid w:val="004629BE"/>
    <w:rsid w:val="00462E1A"/>
    <w:rsid w:val="00464D09"/>
    <w:rsid w:val="00465100"/>
    <w:rsid w:val="00465647"/>
    <w:rsid w:val="0046742B"/>
    <w:rsid w:val="0046786E"/>
    <w:rsid w:val="00467988"/>
    <w:rsid w:val="00470759"/>
    <w:rsid w:val="00470F52"/>
    <w:rsid w:val="00471E77"/>
    <w:rsid w:val="0047292B"/>
    <w:rsid w:val="00472CAC"/>
    <w:rsid w:val="004740DA"/>
    <w:rsid w:val="0047456F"/>
    <w:rsid w:val="004746CA"/>
    <w:rsid w:val="00474753"/>
    <w:rsid w:val="0047729A"/>
    <w:rsid w:val="0048002A"/>
    <w:rsid w:val="004820EB"/>
    <w:rsid w:val="00484C39"/>
    <w:rsid w:val="00486056"/>
    <w:rsid w:val="00486596"/>
    <w:rsid w:val="00486BF8"/>
    <w:rsid w:val="00486FBB"/>
    <w:rsid w:val="00487569"/>
    <w:rsid w:val="004877A2"/>
    <w:rsid w:val="00490486"/>
    <w:rsid w:val="00490C9C"/>
    <w:rsid w:val="00490F78"/>
    <w:rsid w:val="00493065"/>
    <w:rsid w:val="004955FA"/>
    <w:rsid w:val="00496411"/>
    <w:rsid w:val="0049780B"/>
    <w:rsid w:val="004A045B"/>
    <w:rsid w:val="004A1379"/>
    <w:rsid w:val="004A1589"/>
    <w:rsid w:val="004A1B8A"/>
    <w:rsid w:val="004A1F09"/>
    <w:rsid w:val="004A4850"/>
    <w:rsid w:val="004A5F3E"/>
    <w:rsid w:val="004B2D6D"/>
    <w:rsid w:val="004B3291"/>
    <w:rsid w:val="004B3665"/>
    <w:rsid w:val="004B3D33"/>
    <w:rsid w:val="004B3EB7"/>
    <w:rsid w:val="004B445F"/>
    <w:rsid w:val="004B4CDB"/>
    <w:rsid w:val="004B52F3"/>
    <w:rsid w:val="004B6074"/>
    <w:rsid w:val="004B6921"/>
    <w:rsid w:val="004B6E2D"/>
    <w:rsid w:val="004B7729"/>
    <w:rsid w:val="004C0909"/>
    <w:rsid w:val="004C13C6"/>
    <w:rsid w:val="004C1B6B"/>
    <w:rsid w:val="004C368B"/>
    <w:rsid w:val="004C3AD1"/>
    <w:rsid w:val="004C4EA4"/>
    <w:rsid w:val="004C5ECE"/>
    <w:rsid w:val="004C6224"/>
    <w:rsid w:val="004C6705"/>
    <w:rsid w:val="004C71F2"/>
    <w:rsid w:val="004D1606"/>
    <w:rsid w:val="004D1D7F"/>
    <w:rsid w:val="004D245F"/>
    <w:rsid w:val="004D2646"/>
    <w:rsid w:val="004D2E9D"/>
    <w:rsid w:val="004D4700"/>
    <w:rsid w:val="004D4D72"/>
    <w:rsid w:val="004D5166"/>
    <w:rsid w:val="004D69B2"/>
    <w:rsid w:val="004E021D"/>
    <w:rsid w:val="004E0B1A"/>
    <w:rsid w:val="004E1E25"/>
    <w:rsid w:val="004E2067"/>
    <w:rsid w:val="004E284F"/>
    <w:rsid w:val="004E5619"/>
    <w:rsid w:val="004E5AF1"/>
    <w:rsid w:val="004E6FCE"/>
    <w:rsid w:val="004F0666"/>
    <w:rsid w:val="004F0709"/>
    <w:rsid w:val="004F0A7A"/>
    <w:rsid w:val="004F0C32"/>
    <w:rsid w:val="004F14E3"/>
    <w:rsid w:val="004F55D0"/>
    <w:rsid w:val="004F6C46"/>
    <w:rsid w:val="004F768E"/>
    <w:rsid w:val="004F76BE"/>
    <w:rsid w:val="004F782F"/>
    <w:rsid w:val="00500FE0"/>
    <w:rsid w:val="00501669"/>
    <w:rsid w:val="00501D32"/>
    <w:rsid w:val="00503B56"/>
    <w:rsid w:val="00503B87"/>
    <w:rsid w:val="00506C63"/>
    <w:rsid w:val="00506CA3"/>
    <w:rsid w:val="005072C8"/>
    <w:rsid w:val="005109D1"/>
    <w:rsid w:val="005134DB"/>
    <w:rsid w:val="00513A4F"/>
    <w:rsid w:val="00516C5E"/>
    <w:rsid w:val="0051728E"/>
    <w:rsid w:val="0051753B"/>
    <w:rsid w:val="005208C8"/>
    <w:rsid w:val="0052114E"/>
    <w:rsid w:val="00521643"/>
    <w:rsid w:val="00521692"/>
    <w:rsid w:val="00522C19"/>
    <w:rsid w:val="00523D8E"/>
    <w:rsid w:val="0052432D"/>
    <w:rsid w:val="00524A93"/>
    <w:rsid w:val="0052521A"/>
    <w:rsid w:val="00527463"/>
    <w:rsid w:val="005305A7"/>
    <w:rsid w:val="00534AAE"/>
    <w:rsid w:val="00534FD8"/>
    <w:rsid w:val="0053552E"/>
    <w:rsid w:val="0053710D"/>
    <w:rsid w:val="005400C8"/>
    <w:rsid w:val="005403B0"/>
    <w:rsid w:val="00540DDD"/>
    <w:rsid w:val="0054129F"/>
    <w:rsid w:val="0054131D"/>
    <w:rsid w:val="005417FE"/>
    <w:rsid w:val="005423A8"/>
    <w:rsid w:val="00543393"/>
    <w:rsid w:val="00543524"/>
    <w:rsid w:val="00543803"/>
    <w:rsid w:val="00543981"/>
    <w:rsid w:val="00544CF0"/>
    <w:rsid w:val="00546419"/>
    <w:rsid w:val="00547292"/>
    <w:rsid w:val="0055040B"/>
    <w:rsid w:val="00550AFA"/>
    <w:rsid w:val="005513D5"/>
    <w:rsid w:val="00552150"/>
    <w:rsid w:val="00552318"/>
    <w:rsid w:val="00552C4C"/>
    <w:rsid w:val="005539EC"/>
    <w:rsid w:val="00553E64"/>
    <w:rsid w:val="00553E87"/>
    <w:rsid w:val="00554659"/>
    <w:rsid w:val="00554AD0"/>
    <w:rsid w:val="005556FC"/>
    <w:rsid w:val="005557DD"/>
    <w:rsid w:val="00557C40"/>
    <w:rsid w:val="00561798"/>
    <w:rsid w:val="00563C46"/>
    <w:rsid w:val="005648C0"/>
    <w:rsid w:val="0056491F"/>
    <w:rsid w:val="00564E49"/>
    <w:rsid w:val="00566E31"/>
    <w:rsid w:val="00570CFA"/>
    <w:rsid w:val="00571264"/>
    <w:rsid w:val="00572068"/>
    <w:rsid w:val="00572DE3"/>
    <w:rsid w:val="00572F53"/>
    <w:rsid w:val="00573006"/>
    <w:rsid w:val="0057356A"/>
    <w:rsid w:val="0057590C"/>
    <w:rsid w:val="005761BD"/>
    <w:rsid w:val="005761C7"/>
    <w:rsid w:val="0057687B"/>
    <w:rsid w:val="00577766"/>
    <w:rsid w:val="0058173B"/>
    <w:rsid w:val="00583055"/>
    <w:rsid w:val="00583EA0"/>
    <w:rsid w:val="00585D04"/>
    <w:rsid w:val="0059497E"/>
    <w:rsid w:val="0059624A"/>
    <w:rsid w:val="00596B79"/>
    <w:rsid w:val="00597F75"/>
    <w:rsid w:val="005A0CA0"/>
    <w:rsid w:val="005A12C3"/>
    <w:rsid w:val="005A3236"/>
    <w:rsid w:val="005A51B7"/>
    <w:rsid w:val="005A5567"/>
    <w:rsid w:val="005B11A1"/>
    <w:rsid w:val="005B3297"/>
    <w:rsid w:val="005B4FDA"/>
    <w:rsid w:val="005B6561"/>
    <w:rsid w:val="005B7171"/>
    <w:rsid w:val="005B739A"/>
    <w:rsid w:val="005C3591"/>
    <w:rsid w:val="005C4094"/>
    <w:rsid w:val="005C4891"/>
    <w:rsid w:val="005C67F2"/>
    <w:rsid w:val="005C6839"/>
    <w:rsid w:val="005C6889"/>
    <w:rsid w:val="005C6F49"/>
    <w:rsid w:val="005C707E"/>
    <w:rsid w:val="005C798E"/>
    <w:rsid w:val="005C79FC"/>
    <w:rsid w:val="005D2310"/>
    <w:rsid w:val="005D254B"/>
    <w:rsid w:val="005D39A0"/>
    <w:rsid w:val="005D40F3"/>
    <w:rsid w:val="005D423B"/>
    <w:rsid w:val="005D4905"/>
    <w:rsid w:val="005D570B"/>
    <w:rsid w:val="005D61F1"/>
    <w:rsid w:val="005D6C9C"/>
    <w:rsid w:val="005D7A0B"/>
    <w:rsid w:val="005E0C0F"/>
    <w:rsid w:val="005E15E6"/>
    <w:rsid w:val="005E2497"/>
    <w:rsid w:val="005E28C3"/>
    <w:rsid w:val="005E3FDD"/>
    <w:rsid w:val="005E5FD1"/>
    <w:rsid w:val="005E72E7"/>
    <w:rsid w:val="005E7485"/>
    <w:rsid w:val="005E7A77"/>
    <w:rsid w:val="005E7D4C"/>
    <w:rsid w:val="005F0247"/>
    <w:rsid w:val="005F0273"/>
    <w:rsid w:val="005F0EF6"/>
    <w:rsid w:val="005F11FB"/>
    <w:rsid w:val="005F3930"/>
    <w:rsid w:val="005F4581"/>
    <w:rsid w:val="005F5410"/>
    <w:rsid w:val="005F7394"/>
    <w:rsid w:val="005F7A1B"/>
    <w:rsid w:val="00600119"/>
    <w:rsid w:val="00601513"/>
    <w:rsid w:val="00601615"/>
    <w:rsid w:val="00601E13"/>
    <w:rsid w:val="006035E2"/>
    <w:rsid w:val="00604857"/>
    <w:rsid w:val="00605759"/>
    <w:rsid w:val="00606B60"/>
    <w:rsid w:val="00607E5E"/>
    <w:rsid w:val="006107E4"/>
    <w:rsid w:val="006111B8"/>
    <w:rsid w:val="006127A9"/>
    <w:rsid w:val="00612957"/>
    <w:rsid w:val="0061382E"/>
    <w:rsid w:val="006172D2"/>
    <w:rsid w:val="006174C5"/>
    <w:rsid w:val="006178E4"/>
    <w:rsid w:val="00617F28"/>
    <w:rsid w:val="00621C1B"/>
    <w:rsid w:val="00623A4D"/>
    <w:rsid w:val="00626AC5"/>
    <w:rsid w:val="00630473"/>
    <w:rsid w:val="00630DE0"/>
    <w:rsid w:val="00631074"/>
    <w:rsid w:val="00631181"/>
    <w:rsid w:val="00631C1F"/>
    <w:rsid w:val="00633551"/>
    <w:rsid w:val="00640349"/>
    <w:rsid w:val="00640CF1"/>
    <w:rsid w:val="00641ED0"/>
    <w:rsid w:val="00642138"/>
    <w:rsid w:val="006427D7"/>
    <w:rsid w:val="00644E73"/>
    <w:rsid w:val="00645D95"/>
    <w:rsid w:val="00647829"/>
    <w:rsid w:val="0065121C"/>
    <w:rsid w:val="006512F7"/>
    <w:rsid w:val="00651F7B"/>
    <w:rsid w:val="006529FC"/>
    <w:rsid w:val="00653048"/>
    <w:rsid w:val="00653A11"/>
    <w:rsid w:val="006555E7"/>
    <w:rsid w:val="00655D65"/>
    <w:rsid w:val="00657A18"/>
    <w:rsid w:val="006607E1"/>
    <w:rsid w:val="00660A0B"/>
    <w:rsid w:val="00661AE2"/>
    <w:rsid w:val="00661CA8"/>
    <w:rsid w:val="0066300A"/>
    <w:rsid w:val="006641D7"/>
    <w:rsid w:val="0066559D"/>
    <w:rsid w:val="00667CA6"/>
    <w:rsid w:val="00667CD9"/>
    <w:rsid w:val="00667D1A"/>
    <w:rsid w:val="006703F6"/>
    <w:rsid w:val="00670AC3"/>
    <w:rsid w:val="00670AF6"/>
    <w:rsid w:val="00672FD5"/>
    <w:rsid w:val="006737CA"/>
    <w:rsid w:val="006740F3"/>
    <w:rsid w:val="006763D2"/>
    <w:rsid w:val="006818D1"/>
    <w:rsid w:val="00684274"/>
    <w:rsid w:val="006861DE"/>
    <w:rsid w:val="00687120"/>
    <w:rsid w:val="006903BF"/>
    <w:rsid w:val="00690C84"/>
    <w:rsid w:val="0069160A"/>
    <w:rsid w:val="00691661"/>
    <w:rsid w:val="00691B81"/>
    <w:rsid w:val="00691DE9"/>
    <w:rsid w:val="00692769"/>
    <w:rsid w:val="00693F83"/>
    <w:rsid w:val="0069416D"/>
    <w:rsid w:val="00694899"/>
    <w:rsid w:val="00696458"/>
    <w:rsid w:val="0069697C"/>
    <w:rsid w:val="006A263D"/>
    <w:rsid w:val="006A29F3"/>
    <w:rsid w:val="006A4B5E"/>
    <w:rsid w:val="006A55E3"/>
    <w:rsid w:val="006A634F"/>
    <w:rsid w:val="006A6563"/>
    <w:rsid w:val="006A75C8"/>
    <w:rsid w:val="006A783B"/>
    <w:rsid w:val="006B039A"/>
    <w:rsid w:val="006B0812"/>
    <w:rsid w:val="006B088D"/>
    <w:rsid w:val="006B4823"/>
    <w:rsid w:val="006B4969"/>
    <w:rsid w:val="006B5FBB"/>
    <w:rsid w:val="006B6C3B"/>
    <w:rsid w:val="006B7269"/>
    <w:rsid w:val="006C31F9"/>
    <w:rsid w:val="006C3272"/>
    <w:rsid w:val="006C39AF"/>
    <w:rsid w:val="006C3AF6"/>
    <w:rsid w:val="006C3D25"/>
    <w:rsid w:val="006C3EA9"/>
    <w:rsid w:val="006C638D"/>
    <w:rsid w:val="006D327B"/>
    <w:rsid w:val="006D3E0D"/>
    <w:rsid w:val="006D4BD7"/>
    <w:rsid w:val="006D7717"/>
    <w:rsid w:val="006D7A33"/>
    <w:rsid w:val="006E1670"/>
    <w:rsid w:val="006E1986"/>
    <w:rsid w:val="006E309F"/>
    <w:rsid w:val="006E3555"/>
    <w:rsid w:val="006E4BAE"/>
    <w:rsid w:val="006E509D"/>
    <w:rsid w:val="006E5831"/>
    <w:rsid w:val="006E75B3"/>
    <w:rsid w:val="006E76A2"/>
    <w:rsid w:val="006F2662"/>
    <w:rsid w:val="006F3189"/>
    <w:rsid w:val="006F3C09"/>
    <w:rsid w:val="006F3E77"/>
    <w:rsid w:val="006F3FCF"/>
    <w:rsid w:val="006F6511"/>
    <w:rsid w:val="00700370"/>
    <w:rsid w:val="00701703"/>
    <w:rsid w:val="00702AE1"/>
    <w:rsid w:val="007030E3"/>
    <w:rsid w:val="0070355C"/>
    <w:rsid w:val="007043C8"/>
    <w:rsid w:val="007055E9"/>
    <w:rsid w:val="007056B7"/>
    <w:rsid w:val="00705ACA"/>
    <w:rsid w:val="00705C6D"/>
    <w:rsid w:val="00706683"/>
    <w:rsid w:val="007069E2"/>
    <w:rsid w:val="007100B1"/>
    <w:rsid w:val="0071260D"/>
    <w:rsid w:val="00712697"/>
    <w:rsid w:val="00712BA9"/>
    <w:rsid w:val="00713122"/>
    <w:rsid w:val="007149AB"/>
    <w:rsid w:val="00715CF4"/>
    <w:rsid w:val="007165B3"/>
    <w:rsid w:val="007165C6"/>
    <w:rsid w:val="007167BA"/>
    <w:rsid w:val="00716DCA"/>
    <w:rsid w:val="0071707B"/>
    <w:rsid w:val="00717597"/>
    <w:rsid w:val="00717A3E"/>
    <w:rsid w:val="00720659"/>
    <w:rsid w:val="00722069"/>
    <w:rsid w:val="0072252C"/>
    <w:rsid w:val="00726064"/>
    <w:rsid w:val="007264B5"/>
    <w:rsid w:val="0072789E"/>
    <w:rsid w:val="007300BF"/>
    <w:rsid w:val="00730921"/>
    <w:rsid w:val="00731A9E"/>
    <w:rsid w:val="00732129"/>
    <w:rsid w:val="00732FF2"/>
    <w:rsid w:val="0073690E"/>
    <w:rsid w:val="00736CEB"/>
    <w:rsid w:val="0073764C"/>
    <w:rsid w:val="00740074"/>
    <w:rsid w:val="007409FC"/>
    <w:rsid w:val="007424A4"/>
    <w:rsid w:val="00742BB5"/>
    <w:rsid w:val="00744141"/>
    <w:rsid w:val="00744877"/>
    <w:rsid w:val="00747724"/>
    <w:rsid w:val="00750922"/>
    <w:rsid w:val="007510F3"/>
    <w:rsid w:val="007518D7"/>
    <w:rsid w:val="0075260C"/>
    <w:rsid w:val="00753049"/>
    <w:rsid w:val="0075365C"/>
    <w:rsid w:val="00754AAF"/>
    <w:rsid w:val="00755388"/>
    <w:rsid w:val="00756DD8"/>
    <w:rsid w:val="0075725B"/>
    <w:rsid w:val="00757611"/>
    <w:rsid w:val="00757807"/>
    <w:rsid w:val="007578DA"/>
    <w:rsid w:val="00760BC0"/>
    <w:rsid w:val="00761040"/>
    <w:rsid w:val="00761A88"/>
    <w:rsid w:val="00762919"/>
    <w:rsid w:val="00762ADD"/>
    <w:rsid w:val="00762EA2"/>
    <w:rsid w:val="00764690"/>
    <w:rsid w:val="00764E04"/>
    <w:rsid w:val="00765209"/>
    <w:rsid w:val="007656A4"/>
    <w:rsid w:val="00765EA4"/>
    <w:rsid w:val="00770883"/>
    <w:rsid w:val="007712A4"/>
    <w:rsid w:val="00771664"/>
    <w:rsid w:val="00771E9C"/>
    <w:rsid w:val="00772922"/>
    <w:rsid w:val="007745E9"/>
    <w:rsid w:val="00774E15"/>
    <w:rsid w:val="007754E8"/>
    <w:rsid w:val="00775747"/>
    <w:rsid w:val="00776077"/>
    <w:rsid w:val="007760CE"/>
    <w:rsid w:val="00776C7A"/>
    <w:rsid w:val="00776C7B"/>
    <w:rsid w:val="00777892"/>
    <w:rsid w:val="007804B0"/>
    <w:rsid w:val="00781335"/>
    <w:rsid w:val="00781BA2"/>
    <w:rsid w:val="007825E1"/>
    <w:rsid w:val="00784BBA"/>
    <w:rsid w:val="00787E6F"/>
    <w:rsid w:val="00794CEA"/>
    <w:rsid w:val="00795680"/>
    <w:rsid w:val="007960E9"/>
    <w:rsid w:val="00797136"/>
    <w:rsid w:val="007A01A9"/>
    <w:rsid w:val="007A0370"/>
    <w:rsid w:val="007A1DD9"/>
    <w:rsid w:val="007A2B28"/>
    <w:rsid w:val="007A2F84"/>
    <w:rsid w:val="007A484D"/>
    <w:rsid w:val="007A4C73"/>
    <w:rsid w:val="007A5383"/>
    <w:rsid w:val="007A5B8D"/>
    <w:rsid w:val="007A5C1D"/>
    <w:rsid w:val="007A5C34"/>
    <w:rsid w:val="007A6B21"/>
    <w:rsid w:val="007A7115"/>
    <w:rsid w:val="007A74D8"/>
    <w:rsid w:val="007B1BE3"/>
    <w:rsid w:val="007B321F"/>
    <w:rsid w:val="007B493B"/>
    <w:rsid w:val="007B55F2"/>
    <w:rsid w:val="007C0393"/>
    <w:rsid w:val="007C3FBF"/>
    <w:rsid w:val="007C43EF"/>
    <w:rsid w:val="007C60AC"/>
    <w:rsid w:val="007C69CD"/>
    <w:rsid w:val="007C6CE6"/>
    <w:rsid w:val="007C7C5E"/>
    <w:rsid w:val="007D02BC"/>
    <w:rsid w:val="007D2A0B"/>
    <w:rsid w:val="007D332F"/>
    <w:rsid w:val="007D408C"/>
    <w:rsid w:val="007D431E"/>
    <w:rsid w:val="007D4337"/>
    <w:rsid w:val="007D5019"/>
    <w:rsid w:val="007D51A0"/>
    <w:rsid w:val="007D67D4"/>
    <w:rsid w:val="007E03E6"/>
    <w:rsid w:val="007E0A02"/>
    <w:rsid w:val="007E0E53"/>
    <w:rsid w:val="007E1829"/>
    <w:rsid w:val="007E1EAA"/>
    <w:rsid w:val="007E205B"/>
    <w:rsid w:val="007E5119"/>
    <w:rsid w:val="007E72C5"/>
    <w:rsid w:val="007E7388"/>
    <w:rsid w:val="007E7F45"/>
    <w:rsid w:val="007F391B"/>
    <w:rsid w:val="007F3FB0"/>
    <w:rsid w:val="007F47F8"/>
    <w:rsid w:val="007F5F22"/>
    <w:rsid w:val="007F7A33"/>
    <w:rsid w:val="00800584"/>
    <w:rsid w:val="00800C2B"/>
    <w:rsid w:val="0080357D"/>
    <w:rsid w:val="00804474"/>
    <w:rsid w:val="00810092"/>
    <w:rsid w:val="008103B2"/>
    <w:rsid w:val="008109FB"/>
    <w:rsid w:val="008123AC"/>
    <w:rsid w:val="00813BA3"/>
    <w:rsid w:val="0081693D"/>
    <w:rsid w:val="00820257"/>
    <w:rsid w:val="00820B0C"/>
    <w:rsid w:val="00820E4C"/>
    <w:rsid w:val="008211A3"/>
    <w:rsid w:val="00822D6F"/>
    <w:rsid w:val="008232C2"/>
    <w:rsid w:val="0082334B"/>
    <w:rsid w:val="0082354C"/>
    <w:rsid w:val="00824181"/>
    <w:rsid w:val="008256C6"/>
    <w:rsid w:val="00825D15"/>
    <w:rsid w:val="00826860"/>
    <w:rsid w:val="0082789C"/>
    <w:rsid w:val="00830441"/>
    <w:rsid w:val="0083155B"/>
    <w:rsid w:val="00831A3D"/>
    <w:rsid w:val="00833ABC"/>
    <w:rsid w:val="00834843"/>
    <w:rsid w:val="0083674D"/>
    <w:rsid w:val="00840507"/>
    <w:rsid w:val="0084134F"/>
    <w:rsid w:val="00841FC5"/>
    <w:rsid w:val="00842B7A"/>
    <w:rsid w:val="00843435"/>
    <w:rsid w:val="00844483"/>
    <w:rsid w:val="00845232"/>
    <w:rsid w:val="0084587E"/>
    <w:rsid w:val="00846C90"/>
    <w:rsid w:val="0085155B"/>
    <w:rsid w:val="00851B60"/>
    <w:rsid w:val="008520F6"/>
    <w:rsid w:val="008532CF"/>
    <w:rsid w:val="0085543E"/>
    <w:rsid w:val="008609BF"/>
    <w:rsid w:val="00860FAB"/>
    <w:rsid w:val="0086292D"/>
    <w:rsid w:val="00862AE0"/>
    <w:rsid w:val="00863C8E"/>
    <w:rsid w:val="00863DBF"/>
    <w:rsid w:val="0086405B"/>
    <w:rsid w:val="008645C5"/>
    <w:rsid w:val="008649C1"/>
    <w:rsid w:val="00865400"/>
    <w:rsid w:val="008666EC"/>
    <w:rsid w:val="00866B61"/>
    <w:rsid w:val="00873440"/>
    <w:rsid w:val="00873C11"/>
    <w:rsid w:val="00876A94"/>
    <w:rsid w:val="00876FC4"/>
    <w:rsid w:val="00877508"/>
    <w:rsid w:val="00877763"/>
    <w:rsid w:val="00877CF9"/>
    <w:rsid w:val="00877D60"/>
    <w:rsid w:val="008803E5"/>
    <w:rsid w:val="00880E8E"/>
    <w:rsid w:val="008829DA"/>
    <w:rsid w:val="00885216"/>
    <w:rsid w:val="00885244"/>
    <w:rsid w:val="00887EEA"/>
    <w:rsid w:val="00890DE9"/>
    <w:rsid w:val="0089164D"/>
    <w:rsid w:val="00892874"/>
    <w:rsid w:val="00894380"/>
    <w:rsid w:val="00894D27"/>
    <w:rsid w:val="0089546A"/>
    <w:rsid w:val="008A088B"/>
    <w:rsid w:val="008A142C"/>
    <w:rsid w:val="008A3CEB"/>
    <w:rsid w:val="008A4F1B"/>
    <w:rsid w:val="008A4F2F"/>
    <w:rsid w:val="008A5101"/>
    <w:rsid w:val="008A51E5"/>
    <w:rsid w:val="008A5D07"/>
    <w:rsid w:val="008A741F"/>
    <w:rsid w:val="008A7C89"/>
    <w:rsid w:val="008B0374"/>
    <w:rsid w:val="008B0962"/>
    <w:rsid w:val="008B3926"/>
    <w:rsid w:val="008B5B42"/>
    <w:rsid w:val="008B621C"/>
    <w:rsid w:val="008B6F59"/>
    <w:rsid w:val="008B7990"/>
    <w:rsid w:val="008C1248"/>
    <w:rsid w:val="008C19ED"/>
    <w:rsid w:val="008C3FC0"/>
    <w:rsid w:val="008C41B2"/>
    <w:rsid w:val="008C573F"/>
    <w:rsid w:val="008C678D"/>
    <w:rsid w:val="008C6E22"/>
    <w:rsid w:val="008C7859"/>
    <w:rsid w:val="008C7CA5"/>
    <w:rsid w:val="008D00DA"/>
    <w:rsid w:val="008D0FF3"/>
    <w:rsid w:val="008D1ABC"/>
    <w:rsid w:val="008D2DD9"/>
    <w:rsid w:val="008D322B"/>
    <w:rsid w:val="008D368F"/>
    <w:rsid w:val="008D3DD7"/>
    <w:rsid w:val="008D649C"/>
    <w:rsid w:val="008D72EC"/>
    <w:rsid w:val="008E02CA"/>
    <w:rsid w:val="008E6635"/>
    <w:rsid w:val="008E69FB"/>
    <w:rsid w:val="008E7D3F"/>
    <w:rsid w:val="008F129F"/>
    <w:rsid w:val="008F1824"/>
    <w:rsid w:val="008F3554"/>
    <w:rsid w:val="008F51A7"/>
    <w:rsid w:val="008F5AF9"/>
    <w:rsid w:val="008F5C4A"/>
    <w:rsid w:val="008F69EE"/>
    <w:rsid w:val="008F6FC8"/>
    <w:rsid w:val="008F7DA1"/>
    <w:rsid w:val="00905401"/>
    <w:rsid w:val="009057CA"/>
    <w:rsid w:val="009062BA"/>
    <w:rsid w:val="009065F4"/>
    <w:rsid w:val="009072D3"/>
    <w:rsid w:val="009073C5"/>
    <w:rsid w:val="00907DD9"/>
    <w:rsid w:val="0091163B"/>
    <w:rsid w:val="00911D7A"/>
    <w:rsid w:val="00912206"/>
    <w:rsid w:val="00912C32"/>
    <w:rsid w:val="0091344F"/>
    <w:rsid w:val="00913EFF"/>
    <w:rsid w:val="009142F8"/>
    <w:rsid w:val="009158C1"/>
    <w:rsid w:val="00915F2A"/>
    <w:rsid w:val="00916294"/>
    <w:rsid w:val="00917196"/>
    <w:rsid w:val="0092159E"/>
    <w:rsid w:val="0092273A"/>
    <w:rsid w:val="009239DE"/>
    <w:rsid w:val="0092595B"/>
    <w:rsid w:val="00926C8F"/>
    <w:rsid w:val="00926F6F"/>
    <w:rsid w:val="0092776D"/>
    <w:rsid w:val="0093046D"/>
    <w:rsid w:val="009327EF"/>
    <w:rsid w:val="009330BC"/>
    <w:rsid w:val="009335EA"/>
    <w:rsid w:val="0094215A"/>
    <w:rsid w:val="00943192"/>
    <w:rsid w:val="00943549"/>
    <w:rsid w:val="00943685"/>
    <w:rsid w:val="00944E18"/>
    <w:rsid w:val="00944EFE"/>
    <w:rsid w:val="00945074"/>
    <w:rsid w:val="009452A7"/>
    <w:rsid w:val="00952A8F"/>
    <w:rsid w:val="00954777"/>
    <w:rsid w:val="00955876"/>
    <w:rsid w:val="00955983"/>
    <w:rsid w:val="009604D6"/>
    <w:rsid w:val="009616C3"/>
    <w:rsid w:val="0096286B"/>
    <w:rsid w:val="00964582"/>
    <w:rsid w:val="009657A3"/>
    <w:rsid w:val="00965D7B"/>
    <w:rsid w:val="009660D2"/>
    <w:rsid w:val="00966705"/>
    <w:rsid w:val="00967262"/>
    <w:rsid w:val="00967572"/>
    <w:rsid w:val="00967EA1"/>
    <w:rsid w:val="00970B3B"/>
    <w:rsid w:val="00970B58"/>
    <w:rsid w:val="00971143"/>
    <w:rsid w:val="009719AE"/>
    <w:rsid w:val="009727D8"/>
    <w:rsid w:val="0097286D"/>
    <w:rsid w:val="00972C64"/>
    <w:rsid w:val="00974555"/>
    <w:rsid w:val="009753A3"/>
    <w:rsid w:val="009758F6"/>
    <w:rsid w:val="00976863"/>
    <w:rsid w:val="00976994"/>
    <w:rsid w:val="00977F63"/>
    <w:rsid w:val="00977FA5"/>
    <w:rsid w:val="0098031F"/>
    <w:rsid w:val="00983A39"/>
    <w:rsid w:val="00984CF5"/>
    <w:rsid w:val="00985AD4"/>
    <w:rsid w:val="00985F9E"/>
    <w:rsid w:val="009872F1"/>
    <w:rsid w:val="00987DEF"/>
    <w:rsid w:val="00987EEF"/>
    <w:rsid w:val="00992643"/>
    <w:rsid w:val="00992713"/>
    <w:rsid w:val="00994B9D"/>
    <w:rsid w:val="00995C17"/>
    <w:rsid w:val="00995EA1"/>
    <w:rsid w:val="009A10AC"/>
    <w:rsid w:val="009A25A6"/>
    <w:rsid w:val="009A3641"/>
    <w:rsid w:val="009A3A77"/>
    <w:rsid w:val="009A4076"/>
    <w:rsid w:val="009A41ED"/>
    <w:rsid w:val="009A5F14"/>
    <w:rsid w:val="009A65BC"/>
    <w:rsid w:val="009A6DF9"/>
    <w:rsid w:val="009B18D2"/>
    <w:rsid w:val="009B2BAE"/>
    <w:rsid w:val="009B3DDB"/>
    <w:rsid w:val="009B3E05"/>
    <w:rsid w:val="009B5398"/>
    <w:rsid w:val="009B567F"/>
    <w:rsid w:val="009B5728"/>
    <w:rsid w:val="009B58C2"/>
    <w:rsid w:val="009B5D3C"/>
    <w:rsid w:val="009C2B6F"/>
    <w:rsid w:val="009C3D94"/>
    <w:rsid w:val="009C4D23"/>
    <w:rsid w:val="009C5056"/>
    <w:rsid w:val="009C5485"/>
    <w:rsid w:val="009C6239"/>
    <w:rsid w:val="009C67F8"/>
    <w:rsid w:val="009C693C"/>
    <w:rsid w:val="009C6DE9"/>
    <w:rsid w:val="009C6E10"/>
    <w:rsid w:val="009C7429"/>
    <w:rsid w:val="009C7FDC"/>
    <w:rsid w:val="009D3D7F"/>
    <w:rsid w:val="009D3E32"/>
    <w:rsid w:val="009E115D"/>
    <w:rsid w:val="009E3B69"/>
    <w:rsid w:val="009E44D2"/>
    <w:rsid w:val="009E5683"/>
    <w:rsid w:val="009F0261"/>
    <w:rsid w:val="009F030F"/>
    <w:rsid w:val="009F080A"/>
    <w:rsid w:val="009F1565"/>
    <w:rsid w:val="009F2E28"/>
    <w:rsid w:val="009F370E"/>
    <w:rsid w:val="009F3936"/>
    <w:rsid w:val="009F4426"/>
    <w:rsid w:val="009F457D"/>
    <w:rsid w:val="009F6402"/>
    <w:rsid w:val="009F7D78"/>
    <w:rsid w:val="00A00A89"/>
    <w:rsid w:val="00A01C04"/>
    <w:rsid w:val="00A01CD0"/>
    <w:rsid w:val="00A04199"/>
    <w:rsid w:val="00A04A63"/>
    <w:rsid w:val="00A05106"/>
    <w:rsid w:val="00A06212"/>
    <w:rsid w:val="00A06274"/>
    <w:rsid w:val="00A062F9"/>
    <w:rsid w:val="00A06388"/>
    <w:rsid w:val="00A06882"/>
    <w:rsid w:val="00A07EA5"/>
    <w:rsid w:val="00A07FBA"/>
    <w:rsid w:val="00A10CF4"/>
    <w:rsid w:val="00A1104D"/>
    <w:rsid w:val="00A129ED"/>
    <w:rsid w:val="00A13AE1"/>
    <w:rsid w:val="00A15584"/>
    <w:rsid w:val="00A15A7F"/>
    <w:rsid w:val="00A16534"/>
    <w:rsid w:val="00A17A51"/>
    <w:rsid w:val="00A2062B"/>
    <w:rsid w:val="00A20DED"/>
    <w:rsid w:val="00A210C8"/>
    <w:rsid w:val="00A229B4"/>
    <w:rsid w:val="00A23B02"/>
    <w:rsid w:val="00A25653"/>
    <w:rsid w:val="00A2571C"/>
    <w:rsid w:val="00A25ABB"/>
    <w:rsid w:val="00A25B2A"/>
    <w:rsid w:val="00A32E74"/>
    <w:rsid w:val="00A330B1"/>
    <w:rsid w:val="00A33507"/>
    <w:rsid w:val="00A34501"/>
    <w:rsid w:val="00A35BF9"/>
    <w:rsid w:val="00A35E2F"/>
    <w:rsid w:val="00A35FE0"/>
    <w:rsid w:val="00A376B9"/>
    <w:rsid w:val="00A40562"/>
    <w:rsid w:val="00A41BE8"/>
    <w:rsid w:val="00A4345A"/>
    <w:rsid w:val="00A51860"/>
    <w:rsid w:val="00A525E0"/>
    <w:rsid w:val="00A5284B"/>
    <w:rsid w:val="00A55A67"/>
    <w:rsid w:val="00A55CE3"/>
    <w:rsid w:val="00A57F25"/>
    <w:rsid w:val="00A607C2"/>
    <w:rsid w:val="00A60861"/>
    <w:rsid w:val="00A60C9F"/>
    <w:rsid w:val="00A629BA"/>
    <w:rsid w:val="00A62F56"/>
    <w:rsid w:val="00A6366A"/>
    <w:rsid w:val="00A637AD"/>
    <w:rsid w:val="00A656D3"/>
    <w:rsid w:val="00A656DD"/>
    <w:rsid w:val="00A65E84"/>
    <w:rsid w:val="00A66B29"/>
    <w:rsid w:val="00A67B76"/>
    <w:rsid w:val="00A67C96"/>
    <w:rsid w:val="00A70CAC"/>
    <w:rsid w:val="00A7144C"/>
    <w:rsid w:val="00A714B5"/>
    <w:rsid w:val="00A715CA"/>
    <w:rsid w:val="00A719EE"/>
    <w:rsid w:val="00A7251C"/>
    <w:rsid w:val="00A72788"/>
    <w:rsid w:val="00A7289D"/>
    <w:rsid w:val="00A72D03"/>
    <w:rsid w:val="00A74408"/>
    <w:rsid w:val="00A74E59"/>
    <w:rsid w:val="00A75D3D"/>
    <w:rsid w:val="00A81366"/>
    <w:rsid w:val="00A82327"/>
    <w:rsid w:val="00A845C8"/>
    <w:rsid w:val="00A846D7"/>
    <w:rsid w:val="00A879C0"/>
    <w:rsid w:val="00A905F3"/>
    <w:rsid w:val="00A90CD2"/>
    <w:rsid w:val="00A910E5"/>
    <w:rsid w:val="00A91DC0"/>
    <w:rsid w:val="00A9227B"/>
    <w:rsid w:val="00A932AE"/>
    <w:rsid w:val="00A93F1C"/>
    <w:rsid w:val="00A975BC"/>
    <w:rsid w:val="00A976C2"/>
    <w:rsid w:val="00AA1F1D"/>
    <w:rsid w:val="00AA43D7"/>
    <w:rsid w:val="00AA495D"/>
    <w:rsid w:val="00AA5345"/>
    <w:rsid w:val="00AA663C"/>
    <w:rsid w:val="00AA73D3"/>
    <w:rsid w:val="00AB0E59"/>
    <w:rsid w:val="00AB19BA"/>
    <w:rsid w:val="00AB2BCC"/>
    <w:rsid w:val="00AB2C11"/>
    <w:rsid w:val="00AB426B"/>
    <w:rsid w:val="00AC0096"/>
    <w:rsid w:val="00AC0D2F"/>
    <w:rsid w:val="00AC5842"/>
    <w:rsid w:val="00AC5A37"/>
    <w:rsid w:val="00AC6165"/>
    <w:rsid w:val="00AD0134"/>
    <w:rsid w:val="00AD1941"/>
    <w:rsid w:val="00AD4ABE"/>
    <w:rsid w:val="00AD6F25"/>
    <w:rsid w:val="00AE0A0A"/>
    <w:rsid w:val="00AE1B81"/>
    <w:rsid w:val="00AE3262"/>
    <w:rsid w:val="00AE336A"/>
    <w:rsid w:val="00AE3E5E"/>
    <w:rsid w:val="00AE53D9"/>
    <w:rsid w:val="00AE5898"/>
    <w:rsid w:val="00AF04EE"/>
    <w:rsid w:val="00AF2690"/>
    <w:rsid w:val="00AF323A"/>
    <w:rsid w:val="00AF5E23"/>
    <w:rsid w:val="00AF6992"/>
    <w:rsid w:val="00AF7A8B"/>
    <w:rsid w:val="00B00D98"/>
    <w:rsid w:val="00B03489"/>
    <w:rsid w:val="00B04378"/>
    <w:rsid w:val="00B05D45"/>
    <w:rsid w:val="00B05E64"/>
    <w:rsid w:val="00B05ED1"/>
    <w:rsid w:val="00B0617D"/>
    <w:rsid w:val="00B06310"/>
    <w:rsid w:val="00B11BB5"/>
    <w:rsid w:val="00B122A4"/>
    <w:rsid w:val="00B1247F"/>
    <w:rsid w:val="00B12500"/>
    <w:rsid w:val="00B12758"/>
    <w:rsid w:val="00B127D8"/>
    <w:rsid w:val="00B14021"/>
    <w:rsid w:val="00B1795B"/>
    <w:rsid w:val="00B20D79"/>
    <w:rsid w:val="00B22823"/>
    <w:rsid w:val="00B2417B"/>
    <w:rsid w:val="00B2476F"/>
    <w:rsid w:val="00B258F2"/>
    <w:rsid w:val="00B25EFC"/>
    <w:rsid w:val="00B25FA7"/>
    <w:rsid w:val="00B263B2"/>
    <w:rsid w:val="00B30968"/>
    <w:rsid w:val="00B30988"/>
    <w:rsid w:val="00B31364"/>
    <w:rsid w:val="00B319D9"/>
    <w:rsid w:val="00B33BCC"/>
    <w:rsid w:val="00B3431D"/>
    <w:rsid w:val="00B34CC6"/>
    <w:rsid w:val="00B35CFA"/>
    <w:rsid w:val="00B40268"/>
    <w:rsid w:val="00B40AC9"/>
    <w:rsid w:val="00B4125F"/>
    <w:rsid w:val="00B415A8"/>
    <w:rsid w:val="00B424F7"/>
    <w:rsid w:val="00B43CD4"/>
    <w:rsid w:val="00B43EA6"/>
    <w:rsid w:val="00B452BE"/>
    <w:rsid w:val="00B45330"/>
    <w:rsid w:val="00B45566"/>
    <w:rsid w:val="00B500AA"/>
    <w:rsid w:val="00B5166D"/>
    <w:rsid w:val="00B5291C"/>
    <w:rsid w:val="00B52AC4"/>
    <w:rsid w:val="00B52EF2"/>
    <w:rsid w:val="00B53053"/>
    <w:rsid w:val="00B57920"/>
    <w:rsid w:val="00B6118A"/>
    <w:rsid w:val="00B6173D"/>
    <w:rsid w:val="00B62EA4"/>
    <w:rsid w:val="00B65EE5"/>
    <w:rsid w:val="00B67661"/>
    <w:rsid w:val="00B704EC"/>
    <w:rsid w:val="00B71093"/>
    <w:rsid w:val="00B72CA7"/>
    <w:rsid w:val="00B733DA"/>
    <w:rsid w:val="00B73AD4"/>
    <w:rsid w:val="00B73E68"/>
    <w:rsid w:val="00B74BA5"/>
    <w:rsid w:val="00B775E0"/>
    <w:rsid w:val="00B77732"/>
    <w:rsid w:val="00B77F56"/>
    <w:rsid w:val="00B81A16"/>
    <w:rsid w:val="00B84678"/>
    <w:rsid w:val="00B863B8"/>
    <w:rsid w:val="00B9037D"/>
    <w:rsid w:val="00B90746"/>
    <w:rsid w:val="00B9557A"/>
    <w:rsid w:val="00B96F27"/>
    <w:rsid w:val="00BA0735"/>
    <w:rsid w:val="00BA0C90"/>
    <w:rsid w:val="00BA101B"/>
    <w:rsid w:val="00BA1DAF"/>
    <w:rsid w:val="00BA340F"/>
    <w:rsid w:val="00BA6084"/>
    <w:rsid w:val="00BA6121"/>
    <w:rsid w:val="00BB1430"/>
    <w:rsid w:val="00BB1639"/>
    <w:rsid w:val="00BB1C1F"/>
    <w:rsid w:val="00BB603A"/>
    <w:rsid w:val="00BB7E28"/>
    <w:rsid w:val="00BC06EC"/>
    <w:rsid w:val="00BC1839"/>
    <w:rsid w:val="00BC1E62"/>
    <w:rsid w:val="00BC23A9"/>
    <w:rsid w:val="00BC262F"/>
    <w:rsid w:val="00BC2CCB"/>
    <w:rsid w:val="00BC445C"/>
    <w:rsid w:val="00BC5849"/>
    <w:rsid w:val="00BC731F"/>
    <w:rsid w:val="00BC741E"/>
    <w:rsid w:val="00BD002C"/>
    <w:rsid w:val="00BD06FB"/>
    <w:rsid w:val="00BD0C9D"/>
    <w:rsid w:val="00BD1CC9"/>
    <w:rsid w:val="00BD3343"/>
    <w:rsid w:val="00BD3B4E"/>
    <w:rsid w:val="00BD46C1"/>
    <w:rsid w:val="00BD5DD0"/>
    <w:rsid w:val="00BD6A9C"/>
    <w:rsid w:val="00BD6BA4"/>
    <w:rsid w:val="00BE05D1"/>
    <w:rsid w:val="00BE087D"/>
    <w:rsid w:val="00BE0B88"/>
    <w:rsid w:val="00BE38AE"/>
    <w:rsid w:val="00BE3BFF"/>
    <w:rsid w:val="00BE5130"/>
    <w:rsid w:val="00BE654D"/>
    <w:rsid w:val="00BE66CB"/>
    <w:rsid w:val="00BE6BE4"/>
    <w:rsid w:val="00BE741C"/>
    <w:rsid w:val="00BF018D"/>
    <w:rsid w:val="00BF08AA"/>
    <w:rsid w:val="00BF09BD"/>
    <w:rsid w:val="00BF144B"/>
    <w:rsid w:val="00BF15C9"/>
    <w:rsid w:val="00BF2ADF"/>
    <w:rsid w:val="00BF537A"/>
    <w:rsid w:val="00BF5A40"/>
    <w:rsid w:val="00BF6CD9"/>
    <w:rsid w:val="00BF72DD"/>
    <w:rsid w:val="00C003F4"/>
    <w:rsid w:val="00C014E4"/>
    <w:rsid w:val="00C02985"/>
    <w:rsid w:val="00C040A0"/>
    <w:rsid w:val="00C04B07"/>
    <w:rsid w:val="00C04DDD"/>
    <w:rsid w:val="00C06AFA"/>
    <w:rsid w:val="00C07D21"/>
    <w:rsid w:val="00C07DB5"/>
    <w:rsid w:val="00C131A7"/>
    <w:rsid w:val="00C1330E"/>
    <w:rsid w:val="00C140CA"/>
    <w:rsid w:val="00C147ED"/>
    <w:rsid w:val="00C14919"/>
    <w:rsid w:val="00C173D8"/>
    <w:rsid w:val="00C17702"/>
    <w:rsid w:val="00C20026"/>
    <w:rsid w:val="00C20098"/>
    <w:rsid w:val="00C20518"/>
    <w:rsid w:val="00C20966"/>
    <w:rsid w:val="00C214A4"/>
    <w:rsid w:val="00C2399E"/>
    <w:rsid w:val="00C241E9"/>
    <w:rsid w:val="00C25C84"/>
    <w:rsid w:val="00C26346"/>
    <w:rsid w:val="00C268DA"/>
    <w:rsid w:val="00C26912"/>
    <w:rsid w:val="00C316E1"/>
    <w:rsid w:val="00C34862"/>
    <w:rsid w:val="00C43087"/>
    <w:rsid w:val="00C4407A"/>
    <w:rsid w:val="00C45539"/>
    <w:rsid w:val="00C46238"/>
    <w:rsid w:val="00C47656"/>
    <w:rsid w:val="00C50FD2"/>
    <w:rsid w:val="00C514C0"/>
    <w:rsid w:val="00C5172A"/>
    <w:rsid w:val="00C523B9"/>
    <w:rsid w:val="00C526B7"/>
    <w:rsid w:val="00C53257"/>
    <w:rsid w:val="00C5334B"/>
    <w:rsid w:val="00C54D15"/>
    <w:rsid w:val="00C56B0E"/>
    <w:rsid w:val="00C57AFF"/>
    <w:rsid w:val="00C57CFF"/>
    <w:rsid w:val="00C6093A"/>
    <w:rsid w:val="00C63170"/>
    <w:rsid w:val="00C64019"/>
    <w:rsid w:val="00C6624C"/>
    <w:rsid w:val="00C67A9D"/>
    <w:rsid w:val="00C70960"/>
    <w:rsid w:val="00C70D58"/>
    <w:rsid w:val="00C718F6"/>
    <w:rsid w:val="00C73164"/>
    <w:rsid w:val="00C73E95"/>
    <w:rsid w:val="00C744D4"/>
    <w:rsid w:val="00C74BE1"/>
    <w:rsid w:val="00C74CDE"/>
    <w:rsid w:val="00C75A43"/>
    <w:rsid w:val="00C767DB"/>
    <w:rsid w:val="00C77165"/>
    <w:rsid w:val="00C7720E"/>
    <w:rsid w:val="00C778C3"/>
    <w:rsid w:val="00C82A40"/>
    <w:rsid w:val="00C85165"/>
    <w:rsid w:val="00C879A3"/>
    <w:rsid w:val="00C9268A"/>
    <w:rsid w:val="00C9331A"/>
    <w:rsid w:val="00C957F7"/>
    <w:rsid w:val="00C97EF9"/>
    <w:rsid w:val="00CA076C"/>
    <w:rsid w:val="00CA11AB"/>
    <w:rsid w:val="00CA1296"/>
    <w:rsid w:val="00CA178A"/>
    <w:rsid w:val="00CA19AB"/>
    <w:rsid w:val="00CA1A55"/>
    <w:rsid w:val="00CA1BEA"/>
    <w:rsid w:val="00CA1D97"/>
    <w:rsid w:val="00CA2277"/>
    <w:rsid w:val="00CA5082"/>
    <w:rsid w:val="00CA51FC"/>
    <w:rsid w:val="00CA5B37"/>
    <w:rsid w:val="00CA5D85"/>
    <w:rsid w:val="00CA6D2B"/>
    <w:rsid w:val="00CA7267"/>
    <w:rsid w:val="00CB04B3"/>
    <w:rsid w:val="00CB07B5"/>
    <w:rsid w:val="00CB102E"/>
    <w:rsid w:val="00CB140A"/>
    <w:rsid w:val="00CB1FE1"/>
    <w:rsid w:val="00CB2503"/>
    <w:rsid w:val="00CB2B63"/>
    <w:rsid w:val="00CB45E8"/>
    <w:rsid w:val="00CB6937"/>
    <w:rsid w:val="00CC0EAF"/>
    <w:rsid w:val="00CC17BC"/>
    <w:rsid w:val="00CC2D1D"/>
    <w:rsid w:val="00CC3863"/>
    <w:rsid w:val="00CC436D"/>
    <w:rsid w:val="00CC5066"/>
    <w:rsid w:val="00CC521B"/>
    <w:rsid w:val="00CC6CE8"/>
    <w:rsid w:val="00CC796C"/>
    <w:rsid w:val="00CD0C6E"/>
    <w:rsid w:val="00CD11FB"/>
    <w:rsid w:val="00CD1C20"/>
    <w:rsid w:val="00CD1D02"/>
    <w:rsid w:val="00CD27F7"/>
    <w:rsid w:val="00CD2B53"/>
    <w:rsid w:val="00CD2F06"/>
    <w:rsid w:val="00CD4995"/>
    <w:rsid w:val="00CD5455"/>
    <w:rsid w:val="00CD5A4B"/>
    <w:rsid w:val="00CD72EE"/>
    <w:rsid w:val="00CD7BBB"/>
    <w:rsid w:val="00CD7D85"/>
    <w:rsid w:val="00CE0335"/>
    <w:rsid w:val="00CE21C9"/>
    <w:rsid w:val="00CE3653"/>
    <w:rsid w:val="00CE3C0B"/>
    <w:rsid w:val="00CE6266"/>
    <w:rsid w:val="00CE6977"/>
    <w:rsid w:val="00CE791F"/>
    <w:rsid w:val="00CF043F"/>
    <w:rsid w:val="00CF0814"/>
    <w:rsid w:val="00CF1E63"/>
    <w:rsid w:val="00CF23FB"/>
    <w:rsid w:val="00CF2C8D"/>
    <w:rsid w:val="00CF3E2C"/>
    <w:rsid w:val="00CF5795"/>
    <w:rsid w:val="00CF7F05"/>
    <w:rsid w:val="00D00122"/>
    <w:rsid w:val="00D0029A"/>
    <w:rsid w:val="00D00FA0"/>
    <w:rsid w:val="00D015ED"/>
    <w:rsid w:val="00D018BF"/>
    <w:rsid w:val="00D03CAB"/>
    <w:rsid w:val="00D04062"/>
    <w:rsid w:val="00D06267"/>
    <w:rsid w:val="00D0730B"/>
    <w:rsid w:val="00D10689"/>
    <w:rsid w:val="00D1113F"/>
    <w:rsid w:val="00D122D4"/>
    <w:rsid w:val="00D128AB"/>
    <w:rsid w:val="00D13551"/>
    <w:rsid w:val="00D1709B"/>
    <w:rsid w:val="00D20D86"/>
    <w:rsid w:val="00D21158"/>
    <w:rsid w:val="00D22087"/>
    <w:rsid w:val="00D24860"/>
    <w:rsid w:val="00D24D64"/>
    <w:rsid w:val="00D25A65"/>
    <w:rsid w:val="00D27E52"/>
    <w:rsid w:val="00D3263B"/>
    <w:rsid w:val="00D330EE"/>
    <w:rsid w:val="00D34DDE"/>
    <w:rsid w:val="00D34F73"/>
    <w:rsid w:val="00D35D1D"/>
    <w:rsid w:val="00D361CA"/>
    <w:rsid w:val="00D36305"/>
    <w:rsid w:val="00D37566"/>
    <w:rsid w:val="00D407CD"/>
    <w:rsid w:val="00D409E9"/>
    <w:rsid w:val="00D42B3D"/>
    <w:rsid w:val="00D439A9"/>
    <w:rsid w:val="00D4422E"/>
    <w:rsid w:val="00D44EAB"/>
    <w:rsid w:val="00D456D7"/>
    <w:rsid w:val="00D456E2"/>
    <w:rsid w:val="00D52E4F"/>
    <w:rsid w:val="00D53BF1"/>
    <w:rsid w:val="00D540BE"/>
    <w:rsid w:val="00D573B7"/>
    <w:rsid w:val="00D60D4E"/>
    <w:rsid w:val="00D60EFC"/>
    <w:rsid w:val="00D6249C"/>
    <w:rsid w:val="00D6255F"/>
    <w:rsid w:val="00D62C2E"/>
    <w:rsid w:val="00D6309A"/>
    <w:rsid w:val="00D63361"/>
    <w:rsid w:val="00D6591E"/>
    <w:rsid w:val="00D66BEB"/>
    <w:rsid w:val="00D66C37"/>
    <w:rsid w:val="00D677BD"/>
    <w:rsid w:val="00D67E9E"/>
    <w:rsid w:val="00D704D4"/>
    <w:rsid w:val="00D70B3D"/>
    <w:rsid w:val="00D70EAA"/>
    <w:rsid w:val="00D72C62"/>
    <w:rsid w:val="00D73A39"/>
    <w:rsid w:val="00D73A7F"/>
    <w:rsid w:val="00D757A0"/>
    <w:rsid w:val="00D761F1"/>
    <w:rsid w:val="00D80197"/>
    <w:rsid w:val="00D801DE"/>
    <w:rsid w:val="00D806BD"/>
    <w:rsid w:val="00D81644"/>
    <w:rsid w:val="00D8262E"/>
    <w:rsid w:val="00D831A6"/>
    <w:rsid w:val="00D864E0"/>
    <w:rsid w:val="00D8728C"/>
    <w:rsid w:val="00D877DA"/>
    <w:rsid w:val="00D87E4F"/>
    <w:rsid w:val="00D90F77"/>
    <w:rsid w:val="00D92A14"/>
    <w:rsid w:val="00D95A7D"/>
    <w:rsid w:val="00D96DC7"/>
    <w:rsid w:val="00D977E0"/>
    <w:rsid w:val="00DA0F99"/>
    <w:rsid w:val="00DA1701"/>
    <w:rsid w:val="00DA18AE"/>
    <w:rsid w:val="00DA2745"/>
    <w:rsid w:val="00DA33D8"/>
    <w:rsid w:val="00DA3751"/>
    <w:rsid w:val="00DA37B9"/>
    <w:rsid w:val="00DA3D23"/>
    <w:rsid w:val="00DB1C7C"/>
    <w:rsid w:val="00DB1D01"/>
    <w:rsid w:val="00DB3DC3"/>
    <w:rsid w:val="00DB3DD4"/>
    <w:rsid w:val="00DB4186"/>
    <w:rsid w:val="00DB57EA"/>
    <w:rsid w:val="00DB59FE"/>
    <w:rsid w:val="00DB68BD"/>
    <w:rsid w:val="00DB7576"/>
    <w:rsid w:val="00DC03CF"/>
    <w:rsid w:val="00DC32C0"/>
    <w:rsid w:val="00DC45CB"/>
    <w:rsid w:val="00DC49EC"/>
    <w:rsid w:val="00DC4C42"/>
    <w:rsid w:val="00DC4CC0"/>
    <w:rsid w:val="00DC51A8"/>
    <w:rsid w:val="00DD2D15"/>
    <w:rsid w:val="00DD34A1"/>
    <w:rsid w:val="00DD47E7"/>
    <w:rsid w:val="00DD4B74"/>
    <w:rsid w:val="00DD51CE"/>
    <w:rsid w:val="00DD656F"/>
    <w:rsid w:val="00DD789F"/>
    <w:rsid w:val="00DE0185"/>
    <w:rsid w:val="00DE2BC9"/>
    <w:rsid w:val="00DE2E48"/>
    <w:rsid w:val="00DE2FB6"/>
    <w:rsid w:val="00DE33BB"/>
    <w:rsid w:val="00DE4490"/>
    <w:rsid w:val="00DF2817"/>
    <w:rsid w:val="00DF39C0"/>
    <w:rsid w:val="00DF3D1C"/>
    <w:rsid w:val="00DF556D"/>
    <w:rsid w:val="00DF5B17"/>
    <w:rsid w:val="00E01582"/>
    <w:rsid w:val="00E02E1C"/>
    <w:rsid w:val="00E0388A"/>
    <w:rsid w:val="00E105D0"/>
    <w:rsid w:val="00E12193"/>
    <w:rsid w:val="00E150DA"/>
    <w:rsid w:val="00E15ED2"/>
    <w:rsid w:val="00E169D8"/>
    <w:rsid w:val="00E17DAF"/>
    <w:rsid w:val="00E17E56"/>
    <w:rsid w:val="00E2245A"/>
    <w:rsid w:val="00E23F44"/>
    <w:rsid w:val="00E2468F"/>
    <w:rsid w:val="00E24D72"/>
    <w:rsid w:val="00E25BAD"/>
    <w:rsid w:val="00E26927"/>
    <w:rsid w:val="00E26CC6"/>
    <w:rsid w:val="00E26F77"/>
    <w:rsid w:val="00E3108A"/>
    <w:rsid w:val="00E3110F"/>
    <w:rsid w:val="00E3402B"/>
    <w:rsid w:val="00E34348"/>
    <w:rsid w:val="00E343D9"/>
    <w:rsid w:val="00E36B9C"/>
    <w:rsid w:val="00E37585"/>
    <w:rsid w:val="00E423F0"/>
    <w:rsid w:val="00E424D9"/>
    <w:rsid w:val="00E426E1"/>
    <w:rsid w:val="00E427F7"/>
    <w:rsid w:val="00E42839"/>
    <w:rsid w:val="00E428D4"/>
    <w:rsid w:val="00E43EE5"/>
    <w:rsid w:val="00E4417B"/>
    <w:rsid w:val="00E4562E"/>
    <w:rsid w:val="00E45E60"/>
    <w:rsid w:val="00E463FE"/>
    <w:rsid w:val="00E46D33"/>
    <w:rsid w:val="00E47258"/>
    <w:rsid w:val="00E47300"/>
    <w:rsid w:val="00E51930"/>
    <w:rsid w:val="00E533DD"/>
    <w:rsid w:val="00E53695"/>
    <w:rsid w:val="00E53FBC"/>
    <w:rsid w:val="00E5515A"/>
    <w:rsid w:val="00E573C3"/>
    <w:rsid w:val="00E5746E"/>
    <w:rsid w:val="00E62954"/>
    <w:rsid w:val="00E634F8"/>
    <w:rsid w:val="00E645A1"/>
    <w:rsid w:val="00E64D8B"/>
    <w:rsid w:val="00E65D22"/>
    <w:rsid w:val="00E66BFE"/>
    <w:rsid w:val="00E70D6E"/>
    <w:rsid w:val="00E71DC0"/>
    <w:rsid w:val="00E71DF5"/>
    <w:rsid w:val="00E726AB"/>
    <w:rsid w:val="00E7357B"/>
    <w:rsid w:val="00E737E8"/>
    <w:rsid w:val="00E76AB6"/>
    <w:rsid w:val="00E77899"/>
    <w:rsid w:val="00E80A07"/>
    <w:rsid w:val="00E817A7"/>
    <w:rsid w:val="00E83A91"/>
    <w:rsid w:val="00E84662"/>
    <w:rsid w:val="00E87378"/>
    <w:rsid w:val="00E87E3A"/>
    <w:rsid w:val="00E92111"/>
    <w:rsid w:val="00E93D25"/>
    <w:rsid w:val="00E94F75"/>
    <w:rsid w:val="00E9622C"/>
    <w:rsid w:val="00E971E0"/>
    <w:rsid w:val="00E974C3"/>
    <w:rsid w:val="00EA10D3"/>
    <w:rsid w:val="00EA1138"/>
    <w:rsid w:val="00EA425A"/>
    <w:rsid w:val="00EA4B6C"/>
    <w:rsid w:val="00EA5277"/>
    <w:rsid w:val="00EA64B4"/>
    <w:rsid w:val="00EB0163"/>
    <w:rsid w:val="00EB08AF"/>
    <w:rsid w:val="00EB0BD7"/>
    <w:rsid w:val="00EB2A97"/>
    <w:rsid w:val="00EB336F"/>
    <w:rsid w:val="00EB3CAF"/>
    <w:rsid w:val="00EB3EF0"/>
    <w:rsid w:val="00EB3F72"/>
    <w:rsid w:val="00EB4624"/>
    <w:rsid w:val="00EB5204"/>
    <w:rsid w:val="00EB6EF7"/>
    <w:rsid w:val="00EB719B"/>
    <w:rsid w:val="00EB78FA"/>
    <w:rsid w:val="00EB794C"/>
    <w:rsid w:val="00EC1FD8"/>
    <w:rsid w:val="00EC2B52"/>
    <w:rsid w:val="00EC3782"/>
    <w:rsid w:val="00EC57F2"/>
    <w:rsid w:val="00EC5C88"/>
    <w:rsid w:val="00ED1A2A"/>
    <w:rsid w:val="00ED2CAD"/>
    <w:rsid w:val="00ED2FC8"/>
    <w:rsid w:val="00ED3029"/>
    <w:rsid w:val="00ED40A8"/>
    <w:rsid w:val="00ED4498"/>
    <w:rsid w:val="00ED4A2D"/>
    <w:rsid w:val="00ED5125"/>
    <w:rsid w:val="00EE08AE"/>
    <w:rsid w:val="00EE0CAA"/>
    <w:rsid w:val="00EE1A22"/>
    <w:rsid w:val="00EE28A8"/>
    <w:rsid w:val="00EE2DF7"/>
    <w:rsid w:val="00EE367C"/>
    <w:rsid w:val="00EE449F"/>
    <w:rsid w:val="00EE6E95"/>
    <w:rsid w:val="00EF0226"/>
    <w:rsid w:val="00EF0996"/>
    <w:rsid w:val="00EF2C22"/>
    <w:rsid w:val="00EF4A01"/>
    <w:rsid w:val="00EF4DBE"/>
    <w:rsid w:val="00EF5C9D"/>
    <w:rsid w:val="00EF7C50"/>
    <w:rsid w:val="00F00137"/>
    <w:rsid w:val="00F00BD9"/>
    <w:rsid w:val="00F00E19"/>
    <w:rsid w:val="00F02970"/>
    <w:rsid w:val="00F03126"/>
    <w:rsid w:val="00F11EF5"/>
    <w:rsid w:val="00F13256"/>
    <w:rsid w:val="00F146CE"/>
    <w:rsid w:val="00F15034"/>
    <w:rsid w:val="00F153E2"/>
    <w:rsid w:val="00F1547F"/>
    <w:rsid w:val="00F1576C"/>
    <w:rsid w:val="00F15BEF"/>
    <w:rsid w:val="00F176BE"/>
    <w:rsid w:val="00F212C5"/>
    <w:rsid w:val="00F21DA0"/>
    <w:rsid w:val="00F23FBA"/>
    <w:rsid w:val="00F2783E"/>
    <w:rsid w:val="00F30EEE"/>
    <w:rsid w:val="00F30F54"/>
    <w:rsid w:val="00F315AD"/>
    <w:rsid w:val="00F32872"/>
    <w:rsid w:val="00F357D0"/>
    <w:rsid w:val="00F35B83"/>
    <w:rsid w:val="00F40C20"/>
    <w:rsid w:val="00F40DEF"/>
    <w:rsid w:val="00F41B4E"/>
    <w:rsid w:val="00F41E94"/>
    <w:rsid w:val="00F4300F"/>
    <w:rsid w:val="00F43504"/>
    <w:rsid w:val="00F43AC1"/>
    <w:rsid w:val="00F44FC5"/>
    <w:rsid w:val="00F47722"/>
    <w:rsid w:val="00F509AE"/>
    <w:rsid w:val="00F52AA5"/>
    <w:rsid w:val="00F540E2"/>
    <w:rsid w:val="00F55312"/>
    <w:rsid w:val="00F5555F"/>
    <w:rsid w:val="00F60CC4"/>
    <w:rsid w:val="00F6124C"/>
    <w:rsid w:val="00F6207C"/>
    <w:rsid w:val="00F625FC"/>
    <w:rsid w:val="00F62BAE"/>
    <w:rsid w:val="00F63231"/>
    <w:rsid w:val="00F63744"/>
    <w:rsid w:val="00F63A02"/>
    <w:rsid w:val="00F63E7F"/>
    <w:rsid w:val="00F641C0"/>
    <w:rsid w:val="00F64461"/>
    <w:rsid w:val="00F64508"/>
    <w:rsid w:val="00F64CF6"/>
    <w:rsid w:val="00F64EFC"/>
    <w:rsid w:val="00F653CC"/>
    <w:rsid w:val="00F65738"/>
    <w:rsid w:val="00F67536"/>
    <w:rsid w:val="00F67C95"/>
    <w:rsid w:val="00F70625"/>
    <w:rsid w:val="00F70784"/>
    <w:rsid w:val="00F7128E"/>
    <w:rsid w:val="00F71376"/>
    <w:rsid w:val="00F714F0"/>
    <w:rsid w:val="00F71813"/>
    <w:rsid w:val="00F72A05"/>
    <w:rsid w:val="00F7354D"/>
    <w:rsid w:val="00F73CDC"/>
    <w:rsid w:val="00F746FE"/>
    <w:rsid w:val="00F74F66"/>
    <w:rsid w:val="00F75700"/>
    <w:rsid w:val="00F75DD6"/>
    <w:rsid w:val="00F77431"/>
    <w:rsid w:val="00F77C9D"/>
    <w:rsid w:val="00F8055F"/>
    <w:rsid w:val="00F8409B"/>
    <w:rsid w:val="00F86D1E"/>
    <w:rsid w:val="00F872DC"/>
    <w:rsid w:val="00F902D1"/>
    <w:rsid w:val="00F904A9"/>
    <w:rsid w:val="00F91893"/>
    <w:rsid w:val="00F91982"/>
    <w:rsid w:val="00F91F3A"/>
    <w:rsid w:val="00F92B05"/>
    <w:rsid w:val="00F92CA6"/>
    <w:rsid w:val="00F92E83"/>
    <w:rsid w:val="00F93623"/>
    <w:rsid w:val="00FA0767"/>
    <w:rsid w:val="00FA2DA6"/>
    <w:rsid w:val="00FA3997"/>
    <w:rsid w:val="00FA3D60"/>
    <w:rsid w:val="00FA5255"/>
    <w:rsid w:val="00FA692C"/>
    <w:rsid w:val="00FB1C90"/>
    <w:rsid w:val="00FB3611"/>
    <w:rsid w:val="00FB7EF4"/>
    <w:rsid w:val="00FC00EF"/>
    <w:rsid w:val="00FC0F48"/>
    <w:rsid w:val="00FC1EE7"/>
    <w:rsid w:val="00FC416A"/>
    <w:rsid w:val="00FC416C"/>
    <w:rsid w:val="00FC434D"/>
    <w:rsid w:val="00FC45EF"/>
    <w:rsid w:val="00FC6831"/>
    <w:rsid w:val="00FC7867"/>
    <w:rsid w:val="00FD00D7"/>
    <w:rsid w:val="00FD153B"/>
    <w:rsid w:val="00FD39C2"/>
    <w:rsid w:val="00FD79ED"/>
    <w:rsid w:val="00FE05CF"/>
    <w:rsid w:val="00FE20D4"/>
    <w:rsid w:val="00FE62F9"/>
    <w:rsid w:val="00FE6ACE"/>
    <w:rsid w:val="00FF00F9"/>
    <w:rsid w:val="00FF06C2"/>
    <w:rsid w:val="00FF102D"/>
    <w:rsid w:val="00FF2896"/>
    <w:rsid w:val="00FF31DA"/>
    <w:rsid w:val="00FF4A6E"/>
    <w:rsid w:val="00FF555E"/>
    <w:rsid w:val="00FF7037"/>
    <w:rsid w:val="00FF7764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23E4C"/>
  <w15:chartTrackingRefBased/>
  <w15:docId w15:val="{3B94AC44-A953-4501-8C09-B7F64EC8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C7D"/>
    <w:pPr>
      <w:spacing w:line="360" w:lineRule="auto"/>
    </w:pPr>
    <w:rPr>
      <w:rFonts w:ascii="Calibri" w:hAnsi="Calibri"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F36"/>
    <w:pPr>
      <w:keepNext/>
      <w:keepLines/>
      <w:spacing w:before="360" w:after="80"/>
      <w:outlineLvl w:val="0"/>
    </w:pPr>
    <w:rPr>
      <w:rFonts w:eastAsiaTheme="majorEastAsia"/>
      <w:color w:val="CA8710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D5F36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7AA"/>
    <w:pPr>
      <w:keepNext/>
      <w:keepLines/>
      <w:spacing w:before="160" w:after="80"/>
      <w:outlineLvl w:val="2"/>
    </w:pPr>
    <w:rPr>
      <w:rFonts w:eastAsiaTheme="majorEastAsia" w:cstheme="majorBidi"/>
      <w:color w:val="CA871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A87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7AA"/>
    <w:pPr>
      <w:keepNext/>
      <w:keepLines/>
      <w:spacing w:before="80" w:after="40"/>
      <w:outlineLvl w:val="4"/>
    </w:pPr>
    <w:rPr>
      <w:rFonts w:eastAsiaTheme="majorEastAsia" w:cstheme="majorBidi"/>
      <w:color w:val="CA87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295EAD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7AA"/>
    <w:pPr>
      <w:keepNext/>
      <w:keepLines/>
      <w:spacing w:before="40" w:after="0"/>
      <w:outlineLvl w:val="6"/>
    </w:pPr>
    <w:rPr>
      <w:rFonts w:eastAsiaTheme="majorEastAsia" w:cstheme="majorBidi"/>
      <w:color w:val="295EAD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7AA"/>
    <w:pPr>
      <w:keepNext/>
      <w:keepLines/>
      <w:spacing w:after="0"/>
      <w:outlineLvl w:val="7"/>
    </w:pPr>
    <w:rPr>
      <w:rFonts w:eastAsiaTheme="majorEastAsia" w:cstheme="majorBidi"/>
      <w:i/>
      <w:iCs/>
      <w:color w:val="183765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7AA"/>
    <w:pPr>
      <w:keepNext/>
      <w:keepLines/>
      <w:spacing w:after="0"/>
      <w:outlineLvl w:val="8"/>
    </w:pPr>
    <w:rPr>
      <w:rFonts w:eastAsiaTheme="majorEastAsia" w:cstheme="majorBidi"/>
      <w:color w:val="183765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F36"/>
    <w:rPr>
      <w:rFonts w:ascii="Calibri" w:eastAsiaTheme="majorEastAsia" w:hAnsi="Calibri" w:cs="Calibri"/>
      <w:color w:val="CA871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5F36"/>
    <w:rPr>
      <w:rFonts w:ascii="Calibri" w:eastAsiaTheme="majorEastAsia" w:hAnsi="Calibri" w:cs="Calibri"/>
      <w:color w:val="CA871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7AA"/>
    <w:rPr>
      <w:rFonts w:eastAsiaTheme="majorEastAsia" w:cstheme="majorBidi"/>
      <w:color w:val="CA871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7AA"/>
    <w:rPr>
      <w:rFonts w:eastAsiaTheme="majorEastAsia" w:cstheme="majorBidi"/>
      <w:i/>
      <w:iCs/>
      <w:color w:val="CA871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7AA"/>
    <w:rPr>
      <w:rFonts w:eastAsiaTheme="majorEastAsia" w:cstheme="majorBidi"/>
      <w:color w:val="CA87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7AA"/>
    <w:rPr>
      <w:rFonts w:eastAsiaTheme="majorEastAsia" w:cstheme="majorBidi"/>
      <w:i/>
      <w:iCs/>
      <w:color w:val="295EAD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7AA"/>
    <w:rPr>
      <w:rFonts w:eastAsiaTheme="majorEastAsia" w:cstheme="majorBidi"/>
      <w:color w:val="295EAD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7AA"/>
    <w:rPr>
      <w:rFonts w:eastAsiaTheme="majorEastAsia" w:cstheme="majorBidi"/>
      <w:i/>
      <w:iCs/>
      <w:color w:val="183765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7AA"/>
    <w:rPr>
      <w:rFonts w:eastAsiaTheme="majorEastAsia" w:cstheme="majorBidi"/>
      <w:color w:val="183765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7AA"/>
    <w:pPr>
      <w:numPr>
        <w:ilvl w:val="1"/>
      </w:numPr>
    </w:pPr>
    <w:rPr>
      <w:rFonts w:eastAsiaTheme="majorEastAsia" w:cstheme="majorBidi"/>
      <w:color w:val="295EAD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7AA"/>
    <w:rPr>
      <w:rFonts w:eastAsiaTheme="majorEastAsia" w:cstheme="majorBidi"/>
      <w:color w:val="295EAD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7AA"/>
    <w:pPr>
      <w:spacing w:before="160"/>
      <w:jc w:val="center"/>
    </w:pPr>
    <w:rPr>
      <w:i/>
      <w:iCs/>
      <w:color w:val="214A89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7AA"/>
    <w:rPr>
      <w:i/>
      <w:iCs/>
      <w:color w:val="214A89" w:themeColor="text1" w:themeTint="BF"/>
    </w:rPr>
  </w:style>
  <w:style w:type="paragraph" w:styleId="ListParagraph">
    <w:name w:val="List Paragraph"/>
    <w:basedOn w:val="Normal"/>
    <w:uiPriority w:val="34"/>
    <w:qFormat/>
    <w:rsid w:val="00011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7AA"/>
    <w:rPr>
      <w:i/>
      <w:iCs/>
      <w:color w:val="CA871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7AA"/>
    <w:pPr>
      <w:pBdr>
        <w:top w:val="single" w:sz="4" w:space="10" w:color="CA8710" w:themeColor="accent1" w:themeShade="BF"/>
        <w:bottom w:val="single" w:sz="4" w:space="10" w:color="CA8710" w:themeColor="accent1" w:themeShade="BF"/>
      </w:pBdr>
      <w:spacing w:before="360" w:after="360"/>
      <w:ind w:left="864" w:right="864"/>
      <w:jc w:val="center"/>
    </w:pPr>
    <w:rPr>
      <w:i/>
      <w:iCs/>
      <w:color w:val="CA871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7AA"/>
    <w:rPr>
      <w:i/>
      <w:iCs/>
      <w:color w:val="CA871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7AA"/>
    <w:rPr>
      <w:b/>
      <w:bCs/>
      <w:smallCaps/>
      <w:color w:val="CA8710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F7A1B"/>
    <w:pPr>
      <w:spacing w:before="240" w:after="0" w:line="259" w:lineRule="auto"/>
      <w:outlineLvl w:val="9"/>
    </w:pPr>
    <w:rPr>
      <w:rFonts w:asciiTheme="majorHAnsi" w:hAnsiTheme="majorHAnsi" w:cstheme="majorBidi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D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4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D7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812DC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5E7485"/>
    <w:pPr>
      <w:spacing w:after="0" w:line="240" w:lineRule="auto"/>
    </w:pPr>
    <w:tblPr>
      <w:tblStyleRowBandSize w:val="1"/>
      <w:tblStyleColBandSize w:val="1"/>
      <w:tblBorders>
        <w:top w:val="single" w:sz="4" w:space="0" w:color="EAFFEA" w:themeColor="accent6" w:themeTint="66"/>
        <w:left w:val="single" w:sz="4" w:space="0" w:color="EAFFEA" w:themeColor="accent6" w:themeTint="66"/>
        <w:bottom w:val="single" w:sz="4" w:space="0" w:color="EAFFEA" w:themeColor="accent6" w:themeTint="66"/>
        <w:right w:val="single" w:sz="4" w:space="0" w:color="EAFFEA" w:themeColor="accent6" w:themeTint="66"/>
        <w:insideH w:val="single" w:sz="4" w:space="0" w:color="EAFFEA" w:themeColor="accent6" w:themeTint="66"/>
        <w:insideV w:val="single" w:sz="4" w:space="0" w:color="EAFFE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FE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FE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5E7485"/>
    <w:pPr>
      <w:spacing w:after="0" w:line="240" w:lineRule="auto"/>
    </w:pPr>
    <w:tblPr>
      <w:tblStyleRowBandSize w:val="1"/>
      <w:tblStyleColBandSize w:val="1"/>
      <w:tblBorders>
        <w:top w:val="single" w:sz="2" w:space="0" w:color="0A84FF" w:themeColor="accent2" w:themeTint="99"/>
        <w:bottom w:val="single" w:sz="2" w:space="0" w:color="0A84FF" w:themeColor="accent2" w:themeTint="99"/>
        <w:insideH w:val="single" w:sz="2" w:space="0" w:color="0A84FF" w:themeColor="accent2" w:themeTint="99"/>
        <w:insideV w:val="single" w:sz="2" w:space="0" w:color="0A84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84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84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6FF" w:themeFill="accent2" w:themeFillTint="33"/>
      </w:tcPr>
    </w:tblStylePr>
    <w:tblStylePr w:type="band1Horz">
      <w:tblPr/>
      <w:tcPr>
        <w:shd w:val="clear" w:color="auto" w:fill="ADD6FF" w:themeFill="accent2" w:themeFillTint="33"/>
      </w:tcPr>
    </w:tblStylePr>
  </w:style>
  <w:style w:type="table" w:styleId="ListTable4-Accent4">
    <w:name w:val="List Table 4 Accent 4"/>
    <w:basedOn w:val="TableNormal"/>
    <w:uiPriority w:val="49"/>
    <w:rsid w:val="005E7485"/>
    <w:pPr>
      <w:spacing w:after="0" w:line="240" w:lineRule="auto"/>
    </w:pPr>
    <w:tblPr>
      <w:tblStyleRowBandSize w:val="1"/>
      <w:tblStyleColBandSize w:val="1"/>
      <w:tblBorders>
        <w:top w:val="single" w:sz="4" w:space="0" w:color="9ADEF6" w:themeColor="accent4" w:themeTint="99"/>
        <w:left w:val="single" w:sz="4" w:space="0" w:color="9ADEF6" w:themeColor="accent4" w:themeTint="99"/>
        <w:bottom w:val="single" w:sz="4" w:space="0" w:color="9ADEF6" w:themeColor="accent4" w:themeTint="99"/>
        <w:right w:val="single" w:sz="4" w:space="0" w:color="9ADEF6" w:themeColor="accent4" w:themeTint="99"/>
        <w:insideH w:val="single" w:sz="4" w:space="0" w:color="9ADE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CAF0" w:themeColor="accent4"/>
          <w:left w:val="single" w:sz="4" w:space="0" w:color="57CAF0" w:themeColor="accent4"/>
          <w:bottom w:val="single" w:sz="4" w:space="0" w:color="57CAF0" w:themeColor="accent4"/>
          <w:right w:val="single" w:sz="4" w:space="0" w:color="57CAF0" w:themeColor="accent4"/>
          <w:insideH w:val="nil"/>
        </w:tcBorders>
        <w:shd w:val="clear" w:color="auto" w:fill="57CAF0" w:themeFill="accent4"/>
      </w:tcPr>
    </w:tblStylePr>
    <w:tblStylePr w:type="lastRow">
      <w:rPr>
        <w:b/>
        <w:bCs/>
      </w:rPr>
      <w:tblPr/>
      <w:tcPr>
        <w:tcBorders>
          <w:top w:val="double" w:sz="4" w:space="0" w:color="9ADE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4FC" w:themeFill="accent4" w:themeFillTint="33"/>
      </w:tcPr>
    </w:tblStylePr>
    <w:tblStylePr w:type="band1Horz">
      <w:tblPr/>
      <w:tcPr>
        <w:shd w:val="clear" w:color="auto" w:fill="DDF4F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A10AC"/>
    <w:rPr>
      <w:color w:val="467886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F4426"/>
    <w:pPr>
      <w:spacing w:after="200" w:line="240" w:lineRule="auto"/>
    </w:pPr>
    <w:rPr>
      <w:i/>
      <w:iCs/>
      <w:color w:val="333333" w:themeColor="text2"/>
      <w:sz w:val="18"/>
      <w:szCs w:val="18"/>
    </w:rPr>
  </w:style>
  <w:style w:type="table" w:styleId="GridTable4-Accent4">
    <w:name w:val="Grid Table 4 Accent 4"/>
    <w:basedOn w:val="TableNormal"/>
    <w:uiPriority w:val="49"/>
    <w:rsid w:val="003E567A"/>
    <w:pPr>
      <w:spacing w:after="0" w:line="240" w:lineRule="auto"/>
    </w:pPr>
    <w:tblPr>
      <w:tblStyleRowBandSize w:val="1"/>
      <w:tblStyleColBandSize w:val="1"/>
      <w:tblBorders>
        <w:top w:val="single" w:sz="4" w:space="0" w:color="9ADEF6" w:themeColor="accent4" w:themeTint="99"/>
        <w:left w:val="single" w:sz="4" w:space="0" w:color="9ADEF6" w:themeColor="accent4" w:themeTint="99"/>
        <w:bottom w:val="single" w:sz="4" w:space="0" w:color="9ADEF6" w:themeColor="accent4" w:themeTint="99"/>
        <w:right w:val="single" w:sz="4" w:space="0" w:color="9ADEF6" w:themeColor="accent4" w:themeTint="99"/>
        <w:insideH w:val="single" w:sz="4" w:space="0" w:color="9ADEF6" w:themeColor="accent4" w:themeTint="99"/>
        <w:insideV w:val="single" w:sz="4" w:space="0" w:color="9ADE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CAF0" w:themeColor="accent4"/>
          <w:left w:val="single" w:sz="4" w:space="0" w:color="57CAF0" w:themeColor="accent4"/>
          <w:bottom w:val="single" w:sz="4" w:space="0" w:color="57CAF0" w:themeColor="accent4"/>
          <w:right w:val="single" w:sz="4" w:space="0" w:color="57CAF0" w:themeColor="accent4"/>
          <w:insideH w:val="nil"/>
          <w:insideV w:val="nil"/>
        </w:tcBorders>
        <w:shd w:val="clear" w:color="auto" w:fill="57CAF0" w:themeFill="accent4"/>
      </w:tcPr>
    </w:tblStylePr>
    <w:tblStylePr w:type="lastRow">
      <w:rPr>
        <w:b/>
        <w:bCs/>
      </w:rPr>
      <w:tblPr/>
      <w:tcPr>
        <w:tcBorders>
          <w:top w:val="double" w:sz="4" w:space="0" w:color="57CA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4FC" w:themeFill="accent4" w:themeFillTint="33"/>
      </w:tcPr>
    </w:tblStylePr>
    <w:tblStylePr w:type="band1Horz">
      <w:tblPr/>
      <w:tcPr>
        <w:shd w:val="clear" w:color="auto" w:fill="DDF4FC" w:themeFill="accent4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8659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6596"/>
    <w:pPr>
      <w:spacing w:after="100"/>
      <w:ind w:left="240"/>
    </w:pPr>
  </w:style>
  <w:style w:type="character" w:styleId="BookTitle">
    <w:name w:val="Book Title"/>
    <w:basedOn w:val="DefaultParagraphFont"/>
    <w:uiPriority w:val="33"/>
    <w:qFormat/>
    <w:rsid w:val="001C47E5"/>
    <w:rPr>
      <w:rFonts w:ascii="Calibri" w:hAnsi="Calibri"/>
      <w:b/>
      <w:bCs/>
      <w:caps w:val="0"/>
      <w:smallCaps/>
      <w:spacing w:val="0"/>
    </w:rPr>
  </w:style>
  <w:style w:type="table" w:styleId="ListTable4-Accent2">
    <w:name w:val="List Table 4 Accent 2"/>
    <w:basedOn w:val="TableNormal"/>
    <w:uiPriority w:val="49"/>
    <w:rsid w:val="00A17A51"/>
    <w:pPr>
      <w:spacing w:after="0" w:line="240" w:lineRule="auto"/>
    </w:pPr>
    <w:tblPr>
      <w:tblStyleRowBandSize w:val="1"/>
      <w:tblStyleColBandSize w:val="1"/>
      <w:tblBorders>
        <w:top w:val="single" w:sz="4" w:space="0" w:color="0A84FF" w:themeColor="accent2" w:themeTint="99"/>
        <w:left w:val="single" w:sz="4" w:space="0" w:color="0A84FF" w:themeColor="accent2" w:themeTint="99"/>
        <w:bottom w:val="single" w:sz="4" w:space="0" w:color="0A84FF" w:themeColor="accent2" w:themeTint="99"/>
        <w:right w:val="single" w:sz="4" w:space="0" w:color="0A84FF" w:themeColor="accent2" w:themeTint="99"/>
        <w:insideH w:val="single" w:sz="4" w:space="0" w:color="0A84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66" w:themeColor="accent2"/>
          <w:left w:val="single" w:sz="4" w:space="0" w:color="003366" w:themeColor="accent2"/>
          <w:bottom w:val="single" w:sz="4" w:space="0" w:color="003366" w:themeColor="accent2"/>
          <w:right w:val="single" w:sz="4" w:space="0" w:color="003366" w:themeColor="accent2"/>
          <w:insideH w:val="nil"/>
        </w:tcBorders>
        <w:shd w:val="clear" w:color="auto" w:fill="003366" w:themeFill="accent2"/>
      </w:tcPr>
    </w:tblStylePr>
    <w:tblStylePr w:type="lastRow">
      <w:rPr>
        <w:b/>
        <w:bCs/>
      </w:rPr>
      <w:tblPr/>
      <w:tcPr>
        <w:tcBorders>
          <w:top w:val="double" w:sz="4" w:space="0" w:color="0A8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6FF" w:themeFill="accent2" w:themeFillTint="33"/>
      </w:tcPr>
    </w:tblStylePr>
    <w:tblStylePr w:type="band1Horz">
      <w:tblPr/>
      <w:tcPr>
        <w:shd w:val="clear" w:color="auto" w:fill="ADD6FF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6001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3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3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366" w:themeFill="accent2"/>
      </w:tcPr>
    </w:tblStylePr>
    <w:tblStylePr w:type="band1Vert">
      <w:tblPr/>
      <w:tcPr>
        <w:shd w:val="clear" w:color="auto" w:fill="5BADFF" w:themeFill="accent2" w:themeFillTint="66"/>
      </w:tcPr>
    </w:tblStylePr>
    <w:tblStylePr w:type="band1Horz">
      <w:tblPr/>
      <w:tcPr>
        <w:shd w:val="clear" w:color="auto" w:fill="5BADFF" w:themeFill="accent2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73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73B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73B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D1709B"/>
    <w:pPr>
      <w:spacing w:after="0" w:line="240" w:lineRule="auto"/>
    </w:pPr>
    <w:tblPr>
      <w:tblStyleRowBandSize w:val="1"/>
      <w:tblStyleColBandSize w:val="1"/>
      <w:tblBorders>
        <w:top w:val="single" w:sz="4" w:space="0" w:color="0A84FF" w:themeColor="accent2" w:themeTint="99"/>
        <w:left w:val="single" w:sz="4" w:space="0" w:color="0A84FF" w:themeColor="accent2" w:themeTint="99"/>
        <w:bottom w:val="single" w:sz="4" w:space="0" w:color="0A84FF" w:themeColor="accent2" w:themeTint="99"/>
        <w:right w:val="single" w:sz="4" w:space="0" w:color="0A84FF" w:themeColor="accent2" w:themeTint="99"/>
        <w:insideH w:val="single" w:sz="4" w:space="0" w:color="0A84FF" w:themeColor="accent2" w:themeTint="99"/>
        <w:insideV w:val="single" w:sz="4" w:space="0" w:color="0A84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66" w:themeColor="accent2"/>
          <w:left w:val="single" w:sz="4" w:space="0" w:color="003366" w:themeColor="accent2"/>
          <w:bottom w:val="single" w:sz="4" w:space="0" w:color="003366" w:themeColor="accent2"/>
          <w:right w:val="single" w:sz="4" w:space="0" w:color="003366" w:themeColor="accent2"/>
          <w:insideH w:val="nil"/>
          <w:insideV w:val="nil"/>
        </w:tcBorders>
        <w:shd w:val="clear" w:color="auto" w:fill="003366" w:themeFill="accent2"/>
      </w:tcPr>
    </w:tblStylePr>
    <w:tblStylePr w:type="lastRow">
      <w:rPr>
        <w:b/>
        <w:bCs/>
      </w:rPr>
      <w:tblPr/>
      <w:tcPr>
        <w:tcBorders>
          <w:top w:val="double" w:sz="4" w:space="0" w:color="0033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6FF" w:themeFill="accent2" w:themeFillTint="33"/>
      </w:tcPr>
    </w:tblStylePr>
    <w:tblStylePr w:type="band1Horz">
      <w:tblPr/>
      <w:tcPr>
        <w:shd w:val="clear" w:color="auto" w:fill="ADD6FF" w:themeFill="accent2" w:themeFillTint="33"/>
      </w:tcPr>
    </w:tblStylePr>
  </w:style>
  <w:style w:type="character" w:customStyle="1" w:styleId="private-big">
    <w:name w:val="private-big"/>
    <w:basedOn w:val="DefaultParagraphFont"/>
    <w:rsid w:val="00841FC5"/>
  </w:style>
  <w:style w:type="character" w:styleId="Strong">
    <w:name w:val="Strong"/>
    <w:basedOn w:val="DefaultParagraphFont"/>
    <w:uiPriority w:val="22"/>
    <w:qFormat/>
    <w:rsid w:val="004E28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2565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D13551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13551"/>
    <w:rPr>
      <w:rFonts w:eastAsiaTheme="minorEastAsia"/>
      <w:kern w:val="0"/>
      <w:sz w:val="22"/>
      <w:szCs w:val="22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21B1"/>
    <w:pPr>
      <w:spacing w:after="0" w:line="240" w:lineRule="auto"/>
    </w:pPr>
    <w:rPr>
      <w:rFonts w:asciiTheme="minorHAnsi" w:eastAsiaTheme="minorEastAsia" w:hAnsiTheme="minorHAnsi" w:cstheme="minorBidi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1B1"/>
    <w:rPr>
      <w:rFonts w:eastAsiaTheme="minorEastAsia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521B1"/>
    <w:rPr>
      <w:vertAlign w:val="superscript"/>
    </w:rPr>
  </w:style>
  <w:style w:type="table" w:styleId="GridTable4">
    <w:name w:val="Grid Table 4"/>
    <w:basedOn w:val="TableNormal"/>
    <w:uiPriority w:val="49"/>
    <w:rsid w:val="00B30988"/>
    <w:pPr>
      <w:spacing w:after="0" w:line="240" w:lineRule="auto"/>
    </w:pPr>
    <w:tblPr>
      <w:tblStyleRowBandSize w:val="1"/>
      <w:tblStyleColBandSize w:val="1"/>
      <w:tblBorders>
        <w:top w:val="single" w:sz="4" w:space="0" w:color="2E68C0" w:themeColor="text1" w:themeTint="99"/>
        <w:left w:val="single" w:sz="4" w:space="0" w:color="2E68C0" w:themeColor="text1" w:themeTint="99"/>
        <w:bottom w:val="single" w:sz="4" w:space="0" w:color="2E68C0" w:themeColor="text1" w:themeTint="99"/>
        <w:right w:val="single" w:sz="4" w:space="0" w:color="2E68C0" w:themeColor="text1" w:themeTint="99"/>
        <w:insideH w:val="single" w:sz="4" w:space="0" w:color="2E68C0" w:themeColor="text1" w:themeTint="99"/>
        <w:insideV w:val="single" w:sz="4" w:space="0" w:color="2E68C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192E" w:themeColor="text1"/>
          <w:left w:val="single" w:sz="4" w:space="0" w:color="0B192E" w:themeColor="text1"/>
          <w:bottom w:val="single" w:sz="4" w:space="0" w:color="0B192E" w:themeColor="text1"/>
          <w:right w:val="single" w:sz="4" w:space="0" w:color="0B192E" w:themeColor="text1"/>
          <w:insideH w:val="nil"/>
          <w:insideV w:val="nil"/>
        </w:tcBorders>
        <w:shd w:val="clear" w:color="auto" w:fill="0B192E" w:themeFill="text1"/>
      </w:tcPr>
    </w:tblStylePr>
    <w:tblStylePr w:type="lastRow">
      <w:rPr>
        <w:b/>
        <w:bCs/>
      </w:rPr>
      <w:tblPr/>
      <w:tcPr>
        <w:tcBorders>
          <w:top w:val="double" w:sz="4" w:space="0" w:color="0B192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CCED" w:themeFill="text1" w:themeFillTint="33"/>
      </w:tcPr>
    </w:tblStylePr>
    <w:tblStylePr w:type="band1Horz">
      <w:tblPr/>
      <w:tcPr>
        <w:shd w:val="clear" w:color="auto" w:fill="B5CCED" w:themeFill="text1" w:themeFillTint="33"/>
      </w:tcPr>
    </w:tblStylePr>
  </w:style>
  <w:style w:type="table" w:styleId="ListTable3">
    <w:name w:val="List Table 3"/>
    <w:basedOn w:val="TableNormal"/>
    <w:uiPriority w:val="48"/>
    <w:rsid w:val="008C3FC0"/>
    <w:pPr>
      <w:spacing w:after="0" w:line="240" w:lineRule="auto"/>
    </w:pPr>
    <w:tblPr>
      <w:tblStyleRowBandSize w:val="1"/>
      <w:tblStyleColBandSize w:val="1"/>
      <w:tblBorders>
        <w:top w:val="single" w:sz="4" w:space="0" w:color="0B192E" w:themeColor="text1"/>
        <w:left w:val="single" w:sz="4" w:space="0" w:color="0B192E" w:themeColor="text1"/>
        <w:bottom w:val="single" w:sz="4" w:space="0" w:color="0B192E" w:themeColor="text1"/>
        <w:right w:val="single" w:sz="4" w:space="0" w:color="0B192E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192E" w:themeFill="text1"/>
      </w:tcPr>
    </w:tblStylePr>
    <w:tblStylePr w:type="lastRow">
      <w:rPr>
        <w:b/>
        <w:bCs/>
      </w:rPr>
      <w:tblPr/>
      <w:tcPr>
        <w:tcBorders>
          <w:top w:val="double" w:sz="4" w:space="0" w:color="0B192E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192E" w:themeColor="text1"/>
          <w:right w:val="single" w:sz="4" w:space="0" w:color="0B192E" w:themeColor="text1"/>
        </w:tcBorders>
      </w:tcPr>
    </w:tblStylePr>
    <w:tblStylePr w:type="band1Horz">
      <w:tblPr/>
      <w:tcPr>
        <w:tcBorders>
          <w:top w:val="single" w:sz="4" w:space="0" w:color="0B192E" w:themeColor="text1"/>
          <w:bottom w:val="single" w:sz="4" w:space="0" w:color="0B192E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192E" w:themeColor="text1"/>
          <w:left w:val="nil"/>
        </w:tcBorders>
      </w:tcPr>
    </w:tblStylePr>
    <w:tblStylePr w:type="swCell">
      <w:tblPr/>
      <w:tcPr>
        <w:tcBorders>
          <w:top w:val="double" w:sz="4" w:space="0" w:color="0B192E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92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4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35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9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0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2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9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0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07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0275531921001227?utm_source=chatgpt.com" TargetMode="External"/><Relationship Id="rId18" Type="http://schemas.openxmlformats.org/officeDocument/2006/relationships/hyperlink" Target="https://www.sciencedirect.com/science/article/pii/S016748701400083X?utm_source=chatgpt.com" TargetMode="External"/><Relationship Id="rId26" Type="http://schemas.openxmlformats.org/officeDocument/2006/relationships/hyperlink" Target="https://www.atlantafed.org/-/media/documents/banking/consumer-payments/research-data-reports/2023/07/20/RDR-personality-traits-and-financial-outcomes.pdf?utm_source=chatgp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ber.org/system/files/working_papers/w31041/w31041.pdf?utm_source=chatgpt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science/article/pii/S0304405X23002167?utm_source=chatgpt.com" TargetMode="External"/><Relationship Id="rId17" Type="http://schemas.openxmlformats.org/officeDocument/2006/relationships/hyperlink" Target="https://www.sciencedirect.com/science/article/pii/S0167487012000876?utm_source=chatgpt.com" TargetMode="External"/><Relationship Id="rId25" Type="http://schemas.openxmlformats.org/officeDocument/2006/relationships/hyperlink" Target="https://openjournals.libs.uga.edu/fsr/article/download/3178/3113?utm_source=chatgpt.com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merald.com/rbf/article/17/1/172/1240049/The-Big-5-personality-traits-and-investment-biases?utm_source=chatgpt.com" TargetMode="External"/><Relationship Id="rId20" Type="http://schemas.openxmlformats.org/officeDocument/2006/relationships/hyperlink" Target="https://www.sciencedirect.com/science/article/pii/S0275531921001227?utm_source=chatgpt.com" TargetMode="External"/><Relationship Id="rId29" Type="http://schemas.openxmlformats.org/officeDocument/2006/relationships/hyperlink" Target="https://www.bostonfed.org/-/media/Documents/Workingpapers/PDF/2023/wp2304.pdf?utm_source=chatgp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tonfed.org/-/media/Documents/Workingpapers/PDF/2023/wp2304.pdf?utm_source=chatgpt.com" TargetMode="External"/><Relationship Id="rId24" Type="http://schemas.openxmlformats.org/officeDocument/2006/relationships/hyperlink" Target="https://www.emerald.com/rbf/article/17/1/172/1240049/The-Big-5-personality-traits-and-investment-biases?utm_source=chatgpt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article/pii/S016748701400083X?utm_source=chatgpt.com" TargetMode="External"/><Relationship Id="rId23" Type="http://schemas.openxmlformats.org/officeDocument/2006/relationships/hyperlink" Target="https://www.sciencedirect.com/science/article/pii/S016748701400083X?utm_source=chatgpt.com" TargetMode="External"/><Relationship Id="rId28" Type="http://schemas.openxmlformats.org/officeDocument/2006/relationships/hyperlink" Target="https://quizlet.com/study-guides/the-big-five-personality-traits-in-financial-advising-c7d00f5b-8b82-46fe-b2c0-6fb32c3bb1fb?utm_source=chatgpt.com" TargetMode="External"/><Relationship Id="rId10" Type="http://schemas.openxmlformats.org/officeDocument/2006/relationships/hyperlink" Target="http://www.dnabehavior.com/our-methodology" TargetMode="External"/><Relationship Id="rId19" Type="http://schemas.openxmlformats.org/officeDocument/2006/relationships/hyperlink" Target="https://www.bostonfed.org/-/media/Documents/Workingpapers/PDF/2023/wp2304.pdf?utm_source=chatgpt.com" TargetMode="External"/><Relationship Id="rId31" Type="http://schemas.openxmlformats.org/officeDocument/2006/relationships/hyperlink" Target="http://www.dnabehavio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njournals.libs.uga.edu/fsr/article/download/3178/3113?utm_source=chatgpt.com" TargetMode="External"/><Relationship Id="rId14" Type="http://schemas.openxmlformats.org/officeDocument/2006/relationships/hyperlink" Target="https://openjournals.libs.uga.edu/fsr/article/download/3178/3113?utm_source=chatgpt.com" TargetMode="External"/><Relationship Id="rId22" Type="http://schemas.openxmlformats.org/officeDocument/2006/relationships/hyperlink" Target="https://openjournals.libs.uga.edu/fsr/article/download/3178/3113?utm_source=chatgpt.com" TargetMode="External"/><Relationship Id="rId27" Type="http://schemas.openxmlformats.org/officeDocument/2006/relationships/hyperlink" Target="https://www.kiplinger.com/retirement/these-traits-lead-to-more-retirement-savings?utm_source=chatgpt.com" TargetMode="External"/><Relationship Id="rId30" Type="http://schemas.openxmlformats.org/officeDocument/2006/relationships/hyperlink" Target="http://www.dnabehavior/start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NA Color">
      <a:dk1>
        <a:srgbClr val="0B192E"/>
      </a:dk1>
      <a:lt1>
        <a:sysClr val="window" lastClr="FFFFFF"/>
      </a:lt1>
      <a:dk2>
        <a:srgbClr val="333333"/>
      </a:dk2>
      <a:lt2>
        <a:srgbClr val="EDF5F5"/>
      </a:lt2>
      <a:accent1>
        <a:srgbClr val="EFAC35"/>
      </a:accent1>
      <a:accent2>
        <a:srgbClr val="003366"/>
      </a:accent2>
      <a:accent3>
        <a:srgbClr val="339966"/>
      </a:accent3>
      <a:accent4>
        <a:srgbClr val="57CAF0"/>
      </a:accent4>
      <a:accent5>
        <a:srgbClr val="35EFAC"/>
      </a:accent5>
      <a:accent6>
        <a:srgbClr val="CCFFCC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58235-6DF5-4549-A99F-FC44C742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Isuru Promodh</dc:creator>
  <cp:keywords/>
  <dc:description/>
  <cp:lastModifiedBy>Isuru Promodh</cp:lastModifiedBy>
  <cp:revision>16</cp:revision>
  <cp:lastPrinted>2025-05-12T10:53:00Z</cp:lastPrinted>
  <dcterms:created xsi:type="dcterms:W3CDTF">2025-08-29T11:49:00Z</dcterms:created>
  <dcterms:modified xsi:type="dcterms:W3CDTF">2025-08-29T17:09:00Z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185bdad3473f4d7ceffd0d2f01c417e08c51f69d3e2a7ccfb9ca6771ae5bd891</vt:lpwstr>
  </property>
</Properties>
</file>